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AFAA9" w14:textId="4735D4A6" w:rsidR="007831C6" w:rsidRPr="00DB00C8" w:rsidRDefault="006C682F" w:rsidP="00A0445A">
      <w:pPr>
        <w:overflowPunct w:val="0"/>
        <w:spacing w:beforeLines="50" w:before="180" w:afterLines="50" w:after="180" w:line="360" w:lineRule="exact"/>
        <w:jc w:val="center"/>
        <w:rPr>
          <w:rFonts w:ascii="華康粗明體" w:eastAsia="華康粗明體" w:hAnsi="Times New Roman" w:cs="Times New Roman"/>
          <w:b/>
          <w:sz w:val="28"/>
          <w:szCs w:val="28"/>
        </w:rPr>
      </w:pPr>
      <w:r w:rsidRPr="00DB00C8">
        <w:rPr>
          <w:rFonts w:ascii="華康粗明體" w:eastAsia="華康粗明體" w:hAnsi="Times New Roman" w:cs="Times New Roman" w:hint="eastAsia"/>
          <w:b/>
          <w:sz w:val="28"/>
          <w:szCs w:val="28"/>
        </w:rPr>
        <w:t>編輯</w:t>
      </w:r>
      <w:proofErr w:type="gramStart"/>
      <w:r w:rsidRPr="00DB00C8">
        <w:rPr>
          <w:rFonts w:ascii="華康粗明體" w:eastAsia="華康粗明體" w:hAnsi="Times New Roman" w:cs="Times New Roman" w:hint="eastAsia"/>
          <w:b/>
          <w:sz w:val="28"/>
          <w:szCs w:val="28"/>
        </w:rPr>
        <w:t>弁</w:t>
      </w:r>
      <w:proofErr w:type="gramEnd"/>
      <w:r w:rsidRPr="00DB00C8">
        <w:rPr>
          <w:rFonts w:ascii="華康粗明體" w:eastAsia="華康粗明體" w:hAnsi="Times New Roman" w:cs="Times New Roman" w:hint="eastAsia"/>
          <w:b/>
          <w:sz w:val="28"/>
          <w:szCs w:val="28"/>
        </w:rPr>
        <w:t>言</w:t>
      </w:r>
    </w:p>
    <w:p w14:paraId="442F089A" w14:textId="77777777" w:rsidR="00875635" w:rsidRPr="00DB00C8" w:rsidRDefault="00B27F27" w:rsidP="00A0445A">
      <w:pPr>
        <w:overflowPunct w:val="0"/>
        <w:spacing w:line="360" w:lineRule="exact"/>
        <w:ind w:firstLine="480"/>
        <w:jc w:val="both"/>
        <w:rPr>
          <w:rFonts w:ascii="Times New Roman" w:hAnsi="Times New Roman" w:cs="Times New Roman"/>
          <w:szCs w:val="24"/>
        </w:rPr>
      </w:pPr>
      <w:r w:rsidRPr="00DB00C8">
        <w:rPr>
          <w:rFonts w:ascii="Times New Roman" w:hAnsi="Times New Roman" w:cs="Times New Roman"/>
          <w:szCs w:val="24"/>
        </w:rPr>
        <w:t>本刊創刊於</w:t>
      </w:r>
      <w:r w:rsidRPr="00DB00C8">
        <w:rPr>
          <w:rFonts w:ascii="Times New Roman" w:hAnsi="Times New Roman" w:cs="Times New Roman"/>
          <w:szCs w:val="24"/>
        </w:rPr>
        <w:t>1997</w:t>
      </w:r>
      <w:r w:rsidRPr="00DB00C8">
        <w:rPr>
          <w:rFonts w:ascii="Times New Roman" w:hAnsi="Times New Roman" w:cs="Times New Roman"/>
          <w:szCs w:val="24"/>
        </w:rPr>
        <w:t>年，迄今已近三十載。賴歷任前輩學者戮力經營，奠定深厚根基，我輩方能承續其業，使《中正漢學研究》持續發揚光大。十餘年來，本刊穩定收錄於國科會「臺灣人文學引文索引核心期刊（</w:t>
      </w:r>
      <w:r w:rsidRPr="00DB00C8">
        <w:rPr>
          <w:rFonts w:ascii="Times New Roman" w:hAnsi="Times New Roman" w:cs="Times New Roman"/>
          <w:szCs w:val="24"/>
        </w:rPr>
        <w:t>THCI</w:t>
      </w:r>
      <w:r w:rsidRPr="00DB00C8">
        <w:rPr>
          <w:rFonts w:ascii="Times New Roman" w:hAnsi="Times New Roman" w:cs="Times New Roman"/>
          <w:szCs w:val="24"/>
        </w:rPr>
        <w:t>）」，此為學界對本刊最大的肯定。前兩期以「近世意象與文化轉型」為母題，分別聚焦「東亞」與「明清」兩大範疇；本期（總第</w:t>
      </w:r>
      <w:r w:rsidRPr="00DB00C8">
        <w:rPr>
          <w:rFonts w:ascii="Times New Roman" w:hAnsi="Times New Roman" w:cs="Times New Roman"/>
          <w:szCs w:val="24"/>
        </w:rPr>
        <w:t>47</w:t>
      </w:r>
      <w:r w:rsidRPr="00DB00C8">
        <w:rPr>
          <w:rFonts w:ascii="Times New Roman" w:hAnsi="Times New Roman" w:cs="Times New Roman"/>
          <w:szCs w:val="24"/>
        </w:rPr>
        <w:t>期，</w:t>
      </w:r>
      <w:r w:rsidRPr="00DB00C8">
        <w:rPr>
          <w:rFonts w:ascii="Times New Roman" w:hAnsi="Times New Roman" w:cs="Times New Roman"/>
          <w:szCs w:val="24"/>
        </w:rPr>
        <w:t>2026</w:t>
      </w:r>
      <w:r w:rsidRPr="00DB00C8">
        <w:rPr>
          <w:rFonts w:ascii="Times New Roman" w:hAnsi="Times New Roman" w:cs="Times New Roman"/>
          <w:szCs w:val="24"/>
        </w:rPr>
        <w:t>年</w:t>
      </w:r>
      <w:r w:rsidRPr="00DB00C8">
        <w:rPr>
          <w:rFonts w:ascii="Times New Roman" w:hAnsi="Times New Roman" w:cs="Times New Roman"/>
          <w:szCs w:val="24"/>
        </w:rPr>
        <w:t>6</w:t>
      </w:r>
      <w:r w:rsidRPr="00DB00C8">
        <w:rPr>
          <w:rFonts w:ascii="Times New Roman" w:hAnsi="Times New Roman" w:cs="Times New Roman"/>
          <w:szCs w:val="24"/>
        </w:rPr>
        <w:t>月號）則跳脫地域與時代的樊籬，回歸本「心」，以「再探儒家心論」為專輯主題。</w:t>
      </w:r>
    </w:p>
    <w:p w14:paraId="5B69C24D" w14:textId="77777777" w:rsidR="00875635" w:rsidRPr="00DB00C8" w:rsidRDefault="00B27F27" w:rsidP="00A0445A">
      <w:pPr>
        <w:overflowPunct w:val="0"/>
        <w:spacing w:line="360" w:lineRule="exact"/>
        <w:ind w:firstLine="480"/>
        <w:jc w:val="both"/>
        <w:rPr>
          <w:rFonts w:ascii="Times New Roman" w:hAnsi="Times New Roman" w:cs="Times New Roman"/>
          <w:szCs w:val="24"/>
        </w:rPr>
      </w:pPr>
      <w:r w:rsidRPr="00DB00C8">
        <w:rPr>
          <w:rFonts w:ascii="Times New Roman" w:hAnsi="Times New Roman" w:cs="Times New Roman"/>
          <w:szCs w:val="24"/>
        </w:rPr>
        <w:t>本期共收錄論文十篇，涵蓋經學、儒學思想、</w:t>
      </w:r>
      <w:proofErr w:type="gramStart"/>
      <w:r w:rsidRPr="00DB00C8">
        <w:rPr>
          <w:rFonts w:ascii="Times New Roman" w:hAnsi="Times New Roman" w:cs="Times New Roman"/>
          <w:szCs w:val="24"/>
        </w:rPr>
        <w:t>明清詩學</w:t>
      </w:r>
      <w:proofErr w:type="gramEnd"/>
      <w:r w:rsidRPr="00DB00C8">
        <w:rPr>
          <w:rFonts w:ascii="Times New Roman" w:hAnsi="Times New Roman" w:cs="Times New Roman"/>
          <w:szCs w:val="24"/>
        </w:rPr>
        <w:t>與古文字學等領域，既有古典文本的新</w:t>
      </w:r>
      <w:proofErr w:type="gramStart"/>
      <w:r w:rsidRPr="00DB00C8">
        <w:rPr>
          <w:rFonts w:ascii="Times New Roman" w:hAnsi="Times New Roman" w:cs="Times New Roman"/>
          <w:szCs w:val="24"/>
        </w:rPr>
        <w:t>詮</w:t>
      </w:r>
      <w:proofErr w:type="gramEnd"/>
      <w:r w:rsidRPr="00DB00C8">
        <w:rPr>
          <w:rFonts w:ascii="Times New Roman" w:hAnsi="Times New Roman" w:cs="Times New Roman"/>
          <w:szCs w:val="24"/>
        </w:rPr>
        <w:t>，亦兼及跨領域的多元視角。王志浩教授</w:t>
      </w:r>
      <w:proofErr w:type="gramStart"/>
      <w:r w:rsidRPr="00DB00C8">
        <w:rPr>
          <w:rFonts w:ascii="Times New Roman" w:hAnsi="Times New Roman" w:cs="Times New Roman"/>
          <w:szCs w:val="24"/>
        </w:rPr>
        <w:t>〈</w:t>
      </w:r>
      <w:proofErr w:type="gramEnd"/>
      <w:r w:rsidRPr="00DB00C8">
        <w:rPr>
          <w:rFonts w:ascii="Times New Roman" w:hAnsi="Times New Roman" w:cs="Times New Roman"/>
          <w:szCs w:val="24"/>
        </w:rPr>
        <w:t>忠孝兩全：《群書治要》所見「</w:t>
      </w:r>
      <w:proofErr w:type="gramStart"/>
      <w:r w:rsidRPr="00DB00C8">
        <w:rPr>
          <w:rFonts w:ascii="Times New Roman" w:hAnsi="Times New Roman" w:cs="Times New Roman"/>
          <w:szCs w:val="24"/>
        </w:rPr>
        <w:t>事君</w:t>
      </w:r>
      <w:proofErr w:type="gramEnd"/>
      <w:r w:rsidRPr="00DB00C8">
        <w:rPr>
          <w:rFonts w:ascii="Times New Roman" w:hAnsi="Times New Roman" w:cs="Times New Roman"/>
          <w:szCs w:val="24"/>
        </w:rPr>
        <w:t>」文獻及其思想涵義</w:t>
      </w:r>
      <w:proofErr w:type="gramStart"/>
      <w:r w:rsidRPr="00DB00C8">
        <w:rPr>
          <w:rFonts w:ascii="Times New Roman" w:hAnsi="Times New Roman" w:cs="Times New Roman"/>
          <w:szCs w:val="24"/>
        </w:rPr>
        <w:t>〉</w:t>
      </w:r>
      <w:proofErr w:type="gramEnd"/>
      <w:r w:rsidRPr="00DB00C8">
        <w:rPr>
          <w:rFonts w:ascii="Times New Roman" w:hAnsi="Times New Roman" w:cs="Times New Roman"/>
          <w:szCs w:val="24"/>
        </w:rPr>
        <w:t>以《群書治要》所錄二十六部典籍、四十四條「</w:t>
      </w:r>
      <w:proofErr w:type="gramStart"/>
      <w:r w:rsidRPr="00DB00C8">
        <w:rPr>
          <w:rFonts w:ascii="Times New Roman" w:hAnsi="Times New Roman" w:cs="Times New Roman"/>
          <w:szCs w:val="24"/>
        </w:rPr>
        <w:t>事君</w:t>
      </w:r>
      <w:proofErr w:type="gramEnd"/>
      <w:r w:rsidRPr="00DB00C8">
        <w:rPr>
          <w:rFonts w:ascii="Times New Roman" w:hAnsi="Times New Roman" w:cs="Times New Roman"/>
          <w:szCs w:val="24"/>
        </w:rPr>
        <w:t>」文獻為研究對象，從編纂者的輯錄取捨切入，指出其將象徵家庭秩序的「孝」融入國家秩序的「忠」，藉以建構忠孝兩全的理想，並重新形</w:t>
      </w:r>
      <w:proofErr w:type="gramStart"/>
      <w:r w:rsidRPr="00DB00C8">
        <w:rPr>
          <w:rFonts w:ascii="Times New Roman" w:hAnsi="Times New Roman" w:cs="Times New Roman"/>
          <w:szCs w:val="24"/>
        </w:rPr>
        <w:t>塑初唐一元式的</w:t>
      </w:r>
      <w:proofErr w:type="gramEnd"/>
      <w:r w:rsidRPr="00DB00C8">
        <w:rPr>
          <w:rFonts w:ascii="Times New Roman" w:hAnsi="Times New Roman" w:cs="Times New Roman"/>
          <w:szCs w:val="24"/>
        </w:rPr>
        <w:t>君臣關係與「天下一家」的政治理念。王誠</w:t>
      </w:r>
      <w:proofErr w:type="gramStart"/>
      <w:r w:rsidRPr="00DB00C8">
        <w:rPr>
          <w:rFonts w:ascii="Times New Roman" w:hAnsi="Times New Roman" w:cs="Times New Roman"/>
          <w:szCs w:val="24"/>
        </w:rPr>
        <w:t>御</w:t>
      </w:r>
      <w:proofErr w:type="gramEnd"/>
      <w:r w:rsidRPr="00DB00C8">
        <w:rPr>
          <w:rFonts w:ascii="Times New Roman" w:hAnsi="Times New Roman" w:cs="Times New Roman"/>
          <w:szCs w:val="24"/>
        </w:rPr>
        <w:t>博士候選人〈清代「《傳》、《箋》分離」</w:t>
      </w:r>
      <w:r w:rsidRPr="00DB00C8">
        <w:rPr>
          <w:rFonts w:ascii="Times New Roman" w:hAnsi="Times New Roman" w:cs="Times New Roman"/>
          <w:szCs w:val="24"/>
        </w:rPr>
        <w:t>說的形成與陳奐《詩》解新變〉聚焦陳</w:t>
      </w:r>
      <w:proofErr w:type="gramStart"/>
      <w:r w:rsidRPr="00DB00C8">
        <w:rPr>
          <w:rFonts w:ascii="Times New Roman" w:hAnsi="Times New Roman" w:cs="Times New Roman"/>
          <w:szCs w:val="24"/>
        </w:rPr>
        <w:t>奐</w:t>
      </w:r>
      <w:proofErr w:type="gramEnd"/>
      <w:r w:rsidRPr="00DB00C8">
        <w:rPr>
          <w:rFonts w:ascii="Times New Roman" w:hAnsi="Times New Roman" w:cs="Times New Roman"/>
          <w:szCs w:val="24"/>
        </w:rPr>
        <w:t>對〈烝民〉的詮釋，兼論〈車攻〉、</w:t>
      </w:r>
      <w:proofErr w:type="gramStart"/>
      <w:r w:rsidRPr="00DB00C8">
        <w:rPr>
          <w:rFonts w:ascii="Times New Roman" w:hAnsi="Times New Roman" w:cs="Times New Roman"/>
          <w:szCs w:val="24"/>
        </w:rPr>
        <w:t>〈小宛〉諸例</w:t>
      </w:r>
      <w:proofErr w:type="gramEnd"/>
      <w:r w:rsidRPr="00DB00C8">
        <w:rPr>
          <w:rFonts w:ascii="Times New Roman" w:hAnsi="Times New Roman" w:cs="Times New Roman"/>
          <w:szCs w:val="24"/>
        </w:rPr>
        <w:t>，剖析其在經學思潮與解經策略影響下的創新；文章指出，此</w:t>
      </w:r>
      <w:proofErr w:type="gramStart"/>
      <w:r w:rsidRPr="00DB00C8">
        <w:rPr>
          <w:rFonts w:ascii="Times New Roman" w:hAnsi="Times New Roman" w:cs="Times New Roman"/>
          <w:szCs w:val="24"/>
        </w:rPr>
        <w:t>說承續段玉裁</w:t>
      </w:r>
      <w:proofErr w:type="gramEnd"/>
      <w:r w:rsidRPr="00DB00C8">
        <w:rPr>
          <w:rFonts w:ascii="Times New Roman" w:hAnsi="Times New Roman" w:cs="Times New Roman"/>
          <w:szCs w:val="24"/>
        </w:rPr>
        <w:t>等人的經學實踐，使清代學者得以</w:t>
      </w:r>
      <w:proofErr w:type="gramStart"/>
      <w:r w:rsidRPr="00DB00C8">
        <w:rPr>
          <w:rFonts w:ascii="Times New Roman" w:hAnsi="Times New Roman" w:cs="Times New Roman"/>
          <w:szCs w:val="24"/>
        </w:rPr>
        <w:t>藉疏證毛</w:t>
      </w:r>
      <w:proofErr w:type="gramEnd"/>
      <w:r w:rsidRPr="00DB00C8">
        <w:rPr>
          <w:rFonts w:ascii="Times New Roman" w:hAnsi="Times New Roman" w:cs="Times New Roman"/>
          <w:szCs w:val="24"/>
        </w:rPr>
        <w:t>《傳》</w:t>
      </w:r>
      <w:proofErr w:type="gramStart"/>
      <w:r w:rsidRPr="00DB00C8">
        <w:rPr>
          <w:rFonts w:ascii="Times New Roman" w:hAnsi="Times New Roman" w:cs="Times New Roman"/>
          <w:szCs w:val="24"/>
        </w:rPr>
        <w:t>重構毛《詩》</w:t>
      </w:r>
      <w:proofErr w:type="gramEnd"/>
      <w:r w:rsidRPr="00DB00C8">
        <w:rPr>
          <w:rFonts w:ascii="Times New Roman" w:hAnsi="Times New Roman" w:cs="Times New Roman"/>
          <w:szCs w:val="24"/>
        </w:rPr>
        <w:t>學體系，進而抗衡鄭《箋》，並回應宋明理學的經解傳統。</w:t>
      </w:r>
    </w:p>
    <w:p w14:paraId="034FF352" w14:textId="7C68A8ED" w:rsidR="00875635" w:rsidRPr="00DB00C8" w:rsidRDefault="00B27F27" w:rsidP="00A0445A">
      <w:pPr>
        <w:overflowPunct w:val="0"/>
        <w:spacing w:line="360" w:lineRule="exact"/>
        <w:ind w:firstLine="480"/>
        <w:jc w:val="both"/>
        <w:rPr>
          <w:rFonts w:ascii="Times New Roman" w:hAnsi="Times New Roman" w:cs="Times New Roman"/>
          <w:szCs w:val="24"/>
        </w:rPr>
      </w:pPr>
      <w:r w:rsidRPr="00DB00C8">
        <w:rPr>
          <w:rFonts w:ascii="Times New Roman" w:hAnsi="Times New Roman" w:cs="Times New Roman"/>
          <w:szCs w:val="24"/>
        </w:rPr>
        <w:t>羅秀美教授〈仰觀天文的女性與晚清科學知識的轉</w:t>
      </w:r>
      <w:r w:rsidRPr="00DB00C8">
        <w:rPr>
          <w:rFonts w:asciiTheme="minorEastAsia" w:hAnsiTheme="minorEastAsia" w:cs="Times New Roman"/>
          <w:szCs w:val="24"/>
        </w:rPr>
        <w:t>型</w:t>
      </w:r>
      <w:r w:rsidRPr="00DB00C8">
        <w:rPr>
          <w:rFonts w:asciiTheme="minorEastAsia" w:hAnsiTheme="minorEastAsia" w:cs="Times New Roman"/>
          <w:szCs w:val="24"/>
        </w:rPr>
        <w:t>──</w:t>
      </w:r>
      <w:r w:rsidRPr="00DB00C8">
        <w:rPr>
          <w:rFonts w:ascii="Times New Roman" w:hAnsi="Times New Roman" w:cs="Times New Roman"/>
          <w:szCs w:val="24"/>
        </w:rPr>
        <w:t>晚清兩部《疇人傳》續編中的中西女性疇人〉置於西學東漸、知識典範轉型的時代脈絡，探問兩部續編何以將女性納入向以男性為主體的科學家傳記</w:t>
      </w:r>
      <w:r w:rsidR="00A0445A" w:rsidRPr="00DB00C8">
        <w:rPr>
          <w:rFonts w:ascii="Times New Roman" w:hAnsi="Times New Roman" w:cs="Times New Roman" w:hint="eastAsia"/>
          <w:szCs w:val="24"/>
        </w:rPr>
        <w:t>。</w:t>
      </w:r>
      <w:r w:rsidRPr="00DB00C8">
        <w:rPr>
          <w:rFonts w:ascii="Times New Roman" w:hAnsi="Times New Roman" w:cs="Times New Roman"/>
          <w:szCs w:val="24"/>
        </w:rPr>
        <w:t>透過梳理中西女性</w:t>
      </w:r>
      <w:proofErr w:type="gramStart"/>
      <w:r w:rsidRPr="00DB00C8">
        <w:rPr>
          <w:rFonts w:ascii="Times New Roman" w:hAnsi="Times New Roman" w:cs="Times New Roman"/>
          <w:szCs w:val="24"/>
        </w:rPr>
        <w:t>疇</w:t>
      </w:r>
      <w:proofErr w:type="gramEnd"/>
      <w:r w:rsidRPr="00DB00C8">
        <w:rPr>
          <w:rFonts w:ascii="Times New Roman" w:hAnsi="Times New Roman" w:cs="Times New Roman"/>
          <w:szCs w:val="24"/>
        </w:rPr>
        <w:t>人的事蹟，彰顯中國古代</w:t>
      </w:r>
      <w:proofErr w:type="gramStart"/>
      <w:r w:rsidRPr="00DB00C8">
        <w:rPr>
          <w:rFonts w:ascii="Times New Roman" w:hAnsi="Times New Roman" w:cs="Times New Roman"/>
          <w:szCs w:val="24"/>
        </w:rPr>
        <w:t>才女兼擅文學</w:t>
      </w:r>
      <w:proofErr w:type="gramEnd"/>
      <w:r w:rsidRPr="00DB00C8">
        <w:rPr>
          <w:rFonts w:ascii="Times New Roman" w:hAnsi="Times New Roman" w:cs="Times New Roman"/>
          <w:szCs w:val="24"/>
        </w:rPr>
        <w:t>與科學</w:t>
      </w:r>
      <w:proofErr w:type="gramStart"/>
      <w:r w:rsidRPr="00DB00C8">
        <w:rPr>
          <w:rFonts w:ascii="Times New Roman" w:hAnsi="Times New Roman" w:cs="Times New Roman"/>
          <w:szCs w:val="24"/>
        </w:rPr>
        <w:t>的跨域成就</w:t>
      </w:r>
      <w:proofErr w:type="gramEnd"/>
      <w:r w:rsidRPr="00DB00C8">
        <w:rPr>
          <w:rFonts w:ascii="Times New Roman" w:hAnsi="Times New Roman" w:cs="Times New Roman"/>
          <w:szCs w:val="24"/>
        </w:rPr>
        <w:t>，並揭</w:t>
      </w:r>
      <w:r w:rsidRPr="00DB00C8">
        <w:rPr>
          <w:rFonts w:ascii="Times New Roman" w:hAnsi="Times New Roman" w:cs="Times New Roman"/>
          <w:szCs w:val="24"/>
        </w:rPr>
        <w:t>示晚清知識體系</w:t>
      </w:r>
      <w:proofErr w:type="gramStart"/>
      <w:r w:rsidRPr="00DB00C8">
        <w:rPr>
          <w:rFonts w:ascii="Times New Roman" w:hAnsi="Times New Roman" w:cs="Times New Roman"/>
          <w:szCs w:val="24"/>
        </w:rPr>
        <w:t>重構中女性</w:t>
      </w:r>
      <w:proofErr w:type="gramEnd"/>
      <w:r w:rsidRPr="00DB00C8">
        <w:rPr>
          <w:rFonts w:ascii="Times New Roman" w:hAnsi="Times New Roman" w:cs="Times New Roman"/>
          <w:szCs w:val="24"/>
        </w:rPr>
        <w:t>科學形象的內涵與價值。李蕙如教授</w:t>
      </w:r>
      <w:proofErr w:type="gramStart"/>
      <w:r w:rsidRPr="00DB00C8">
        <w:rPr>
          <w:rFonts w:ascii="Times New Roman" w:hAnsi="Times New Roman" w:cs="Times New Roman"/>
          <w:szCs w:val="24"/>
        </w:rPr>
        <w:t>〈</w:t>
      </w:r>
      <w:proofErr w:type="gramEnd"/>
      <w:r w:rsidRPr="00DB00C8">
        <w:rPr>
          <w:rFonts w:ascii="Times New Roman" w:hAnsi="Times New Roman" w:cs="Times New Roman"/>
          <w:szCs w:val="24"/>
        </w:rPr>
        <w:t>儒學正統與士林評價：比較</w:t>
      </w:r>
      <w:proofErr w:type="gramStart"/>
      <w:r w:rsidRPr="00DB00C8">
        <w:rPr>
          <w:rFonts w:ascii="Times New Roman" w:hAnsi="Times New Roman" w:cs="Times New Roman"/>
          <w:szCs w:val="24"/>
        </w:rPr>
        <w:t>陸隴其與</w:t>
      </w:r>
      <w:proofErr w:type="gramEnd"/>
      <w:r w:rsidRPr="00DB00C8">
        <w:rPr>
          <w:rFonts w:ascii="Times New Roman" w:hAnsi="Times New Roman" w:cs="Times New Roman"/>
          <w:szCs w:val="24"/>
        </w:rPr>
        <w:t>湯斌從</w:t>
      </w:r>
      <w:proofErr w:type="gramStart"/>
      <w:r w:rsidRPr="00DB00C8">
        <w:rPr>
          <w:rFonts w:ascii="Times New Roman" w:hAnsi="Times New Roman" w:cs="Times New Roman"/>
          <w:szCs w:val="24"/>
        </w:rPr>
        <w:t>祀</w:t>
      </w:r>
      <w:proofErr w:type="gramEnd"/>
      <w:r w:rsidRPr="00DB00C8">
        <w:rPr>
          <w:rFonts w:ascii="Times New Roman" w:hAnsi="Times New Roman" w:cs="Times New Roman"/>
          <w:szCs w:val="24"/>
        </w:rPr>
        <w:t>孔廟的歷史進程與評議</w:t>
      </w:r>
      <w:proofErr w:type="gramStart"/>
      <w:r w:rsidRPr="00DB00C8">
        <w:rPr>
          <w:rFonts w:ascii="Times New Roman" w:hAnsi="Times New Roman" w:cs="Times New Roman"/>
          <w:szCs w:val="24"/>
        </w:rPr>
        <w:t>〉</w:t>
      </w:r>
      <w:proofErr w:type="gramEnd"/>
      <w:r w:rsidRPr="00DB00C8">
        <w:rPr>
          <w:rFonts w:ascii="Times New Roman" w:hAnsi="Times New Roman" w:cs="Times New Roman"/>
          <w:szCs w:val="24"/>
        </w:rPr>
        <w:t>考察士林評價、學術論辯、社會聲望與朝廷決策之間的交互作用，說明清代儒學正統的認定如何在學術、輿論與政治力量的交織中形成，從而呈現儒學傳統與國家政治目標的緊密關聯。吳志廉教授〈全祖望《續甬上耆舊詩》輯錄詩作的國難書寫與復明隱語〉由詩作內部視野切入，聚焦國難書寫、復明隱語與甲申之變的歷史記憶；透過分析崇禎</w:t>
      </w:r>
      <w:proofErr w:type="gramStart"/>
      <w:r w:rsidRPr="00DB00C8">
        <w:rPr>
          <w:rFonts w:ascii="Times New Roman" w:hAnsi="Times New Roman" w:cs="Times New Roman"/>
          <w:szCs w:val="24"/>
        </w:rPr>
        <w:t>帝</w:t>
      </w:r>
      <w:proofErr w:type="gramEnd"/>
      <w:r w:rsidRPr="00DB00C8">
        <w:rPr>
          <w:rFonts w:ascii="Times New Roman" w:hAnsi="Times New Roman" w:cs="Times New Roman"/>
          <w:szCs w:val="24"/>
        </w:rPr>
        <w:t>忌日詩作及林岳隆的眼疾書寫，揭示「從失明到復明」的隱微修辭及其政治寓意，並據以考察</w:t>
      </w:r>
      <w:proofErr w:type="gramStart"/>
      <w:r w:rsidRPr="00DB00C8">
        <w:rPr>
          <w:rFonts w:ascii="Times New Roman" w:hAnsi="Times New Roman" w:cs="Times New Roman"/>
          <w:szCs w:val="24"/>
        </w:rPr>
        <w:t>全祖望</w:t>
      </w:r>
      <w:proofErr w:type="gramEnd"/>
      <w:r w:rsidRPr="00DB00C8">
        <w:rPr>
          <w:rFonts w:ascii="Times New Roman" w:hAnsi="Times New Roman" w:cs="Times New Roman"/>
          <w:szCs w:val="24"/>
        </w:rPr>
        <w:t>游移於明清之間的政治立場，深化</w:t>
      </w:r>
      <w:proofErr w:type="gramStart"/>
      <w:r w:rsidRPr="00DB00C8">
        <w:rPr>
          <w:rFonts w:ascii="Times New Roman" w:hAnsi="Times New Roman" w:cs="Times New Roman"/>
          <w:szCs w:val="24"/>
        </w:rPr>
        <w:t>對易代文學</w:t>
      </w:r>
      <w:proofErr w:type="gramEnd"/>
      <w:r w:rsidRPr="00DB00C8">
        <w:rPr>
          <w:rFonts w:ascii="Times New Roman" w:hAnsi="Times New Roman" w:cs="Times New Roman"/>
          <w:szCs w:val="24"/>
        </w:rPr>
        <w:t>與士人心態史的理解。</w:t>
      </w:r>
    </w:p>
    <w:p w14:paraId="2D36411F" w14:textId="77777777" w:rsidR="00875635" w:rsidRPr="00DB00C8" w:rsidRDefault="00B27F27" w:rsidP="00A0445A">
      <w:pPr>
        <w:overflowPunct w:val="0"/>
        <w:spacing w:line="360" w:lineRule="exact"/>
        <w:ind w:firstLine="480"/>
        <w:jc w:val="both"/>
        <w:rPr>
          <w:rFonts w:ascii="Times New Roman" w:hAnsi="Times New Roman" w:cs="Times New Roman"/>
          <w:szCs w:val="24"/>
        </w:rPr>
      </w:pPr>
      <w:r w:rsidRPr="00DB00C8">
        <w:rPr>
          <w:rFonts w:ascii="Times New Roman" w:hAnsi="Times New Roman" w:cs="Times New Roman"/>
          <w:szCs w:val="24"/>
        </w:rPr>
        <w:t>古文字學方面，陳立教授〈「周時忌子卯日」探微</w:t>
      </w:r>
      <w:r w:rsidRPr="00DB00C8">
        <w:rPr>
          <w:rFonts w:asciiTheme="minorEastAsia" w:hAnsiTheme="minorEastAsia" w:cs="Times New Roman"/>
          <w:szCs w:val="24"/>
        </w:rPr>
        <w:t>──</w:t>
      </w:r>
      <w:r w:rsidRPr="00DB00C8">
        <w:rPr>
          <w:rFonts w:asciiTheme="minorEastAsia" w:hAnsiTheme="minorEastAsia" w:cs="Times New Roman"/>
          <w:szCs w:val="24"/>
        </w:rPr>
        <w:t>以</w:t>
      </w:r>
      <w:r w:rsidRPr="00DB00C8">
        <w:rPr>
          <w:rFonts w:ascii="Times New Roman" w:hAnsi="Times New Roman" w:cs="Times New Roman"/>
          <w:szCs w:val="24"/>
        </w:rPr>
        <w:t>兩周金文所見紀日干支為例〉結合傳世文獻與兩周金文，比對干支紀日銘文與典籍所載的避忌規範，發現金文中的子日、</w:t>
      </w:r>
      <w:proofErr w:type="gramStart"/>
      <w:r w:rsidRPr="00DB00C8">
        <w:rPr>
          <w:rFonts w:ascii="Times New Roman" w:hAnsi="Times New Roman" w:cs="Times New Roman"/>
          <w:szCs w:val="24"/>
        </w:rPr>
        <w:t>卯日記錄</w:t>
      </w:r>
      <w:proofErr w:type="gramEnd"/>
      <w:r w:rsidRPr="00DB00C8">
        <w:rPr>
          <w:rFonts w:ascii="Times New Roman" w:hAnsi="Times New Roman" w:cs="Times New Roman"/>
          <w:szCs w:val="24"/>
        </w:rPr>
        <w:t>與文獻所述存在落差，且乙卯日銘文皆未涉及祭祀、冠禮與婚禮，據此質疑兩周普遍</w:t>
      </w:r>
      <w:proofErr w:type="gramStart"/>
      <w:r w:rsidRPr="00DB00C8">
        <w:rPr>
          <w:rFonts w:ascii="Times New Roman" w:hAnsi="Times New Roman" w:cs="Times New Roman"/>
          <w:szCs w:val="24"/>
        </w:rPr>
        <w:t>忌子卯日</w:t>
      </w:r>
      <w:proofErr w:type="gramEnd"/>
      <w:r w:rsidRPr="00DB00C8">
        <w:rPr>
          <w:rFonts w:ascii="Times New Roman" w:hAnsi="Times New Roman" w:cs="Times New Roman"/>
          <w:szCs w:val="24"/>
        </w:rPr>
        <w:t>之說，重新檢視古代擇日禁忌的文獻記載與實際運用。陳逸文教授〈日本甲骨學先驅林泰輔考實〉則將視野延伸至海外，梳理林</w:t>
      </w:r>
      <w:proofErr w:type="gramStart"/>
      <w:r w:rsidRPr="00DB00C8">
        <w:rPr>
          <w:rFonts w:ascii="Times New Roman" w:hAnsi="Times New Roman" w:cs="Times New Roman"/>
          <w:szCs w:val="24"/>
        </w:rPr>
        <w:t>泰輔由</w:t>
      </w:r>
      <w:proofErr w:type="gramEnd"/>
      <w:r w:rsidRPr="00DB00C8">
        <w:rPr>
          <w:rFonts w:ascii="Times New Roman" w:hAnsi="Times New Roman" w:cs="Times New Roman"/>
          <w:szCs w:val="24"/>
        </w:rPr>
        <w:t>早年朝鮮史研究，逐步轉向古代文獻、文字學與甲骨文研究的學術歷程，並綜合其著作與近年新見</w:t>
      </w:r>
      <w:r w:rsidRPr="00DB00C8">
        <w:rPr>
          <w:rFonts w:ascii="Times New Roman" w:hAnsi="Times New Roman" w:cs="Times New Roman"/>
          <w:szCs w:val="24"/>
        </w:rPr>
        <w:t>手稿，重新評估其對中國古文字起源與</w:t>
      </w:r>
      <w:r w:rsidRPr="00DB00C8">
        <w:rPr>
          <w:rFonts w:ascii="Times New Roman" w:hAnsi="Times New Roman" w:cs="Times New Roman"/>
          <w:szCs w:val="24"/>
        </w:rPr>
        <w:lastRenderedPageBreak/>
        <w:t>發展的論述，以及其在日本甲骨學史上的地位。</w:t>
      </w:r>
    </w:p>
    <w:p w14:paraId="156CFBD0" w14:textId="64F57267" w:rsidR="00875635" w:rsidRPr="00DB00C8" w:rsidRDefault="00B27F27" w:rsidP="00A0445A">
      <w:pPr>
        <w:overflowPunct w:val="0"/>
        <w:spacing w:line="360" w:lineRule="exact"/>
        <w:ind w:firstLine="480"/>
        <w:jc w:val="both"/>
        <w:rPr>
          <w:rFonts w:ascii="Times New Roman" w:hAnsi="Times New Roman" w:cs="Times New Roman"/>
          <w:szCs w:val="24"/>
        </w:rPr>
      </w:pPr>
      <w:r w:rsidRPr="00DB00C8">
        <w:rPr>
          <w:rFonts w:ascii="Times New Roman" w:hAnsi="Times New Roman" w:cs="Times New Roman"/>
          <w:szCs w:val="24"/>
        </w:rPr>
        <w:t>三篇聚焦</w:t>
      </w:r>
      <w:r w:rsidR="00A0445A" w:rsidRPr="00DB00C8">
        <w:rPr>
          <w:rFonts w:ascii="Times New Roman" w:hAnsi="Times New Roman" w:cs="Times New Roman" w:hint="eastAsia"/>
          <w:szCs w:val="24"/>
        </w:rPr>
        <w:t>於</w:t>
      </w:r>
      <w:r w:rsidRPr="00DB00C8">
        <w:rPr>
          <w:rFonts w:ascii="Times New Roman" w:hAnsi="Times New Roman" w:cs="Times New Roman"/>
          <w:szCs w:val="24"/>
        </w:rPr>
        <w:t>儒家心性與修養工夫</w:t>
      </w:r>
      <w:r w:rsidR="00A0445A" w:rsidRPr="00DB00C8">
        <w:rPr>
          <w:rFonts w:ascii="Times New Roman" w:hAnsi="Times New Roman" w:cs="Times New Roman" w:hint="eastAsia"/>
          <w:szCs w:val="24"/>
        </w:rPr>
        <w:t>的篇章</w:t>
      </w:r>
      <w:r w:rsidRPr="00DB00C8">
        <w:rPr>
          <w:rFonts w:ascii="Times New Roman" w:hAnsi="Times New Roman" w:cs="Times New Roman"/>
          <w:szCs w:val="24"/>
        </w:rPr>
        <w:t>，</w:t>
      </w:r>
      <w:r w:rsidR="00A0445A" w:rsidRPr="00DB00C8">
        <w:rPr>
          <w:rFonts w:ascii="Times New Roman" w:hAnsi="Times New Roman" w:cs="Times New Roman" w:hint="eastAsia"/>
          <w:szCs w:val="24"/>
        </w:rPr>
        <w:t>則</w:t>
      </w:r>
      <w:r w:rsidRPr="00DB00C8">
        <w:rPr>
          <w:rFonts w:ascii="Times New Roman" w:hAnsi="Times New Roman" w:cs="Times New Roman"/>
          <w:szCs w:val="24"/>
        </w:rPr>
        <w:t>與本期專輯主題最為切近。吳啟超教授</w:t>
      </w:r>
      <w:proofErr w:type="gramStart"/>
      <w:r w:rsidRPr="00DB00C8">
        <w:rPr>
          <w:rFonts w:ascii="Times New Roman" w:hAnsi="Times New Roman" w:cs="Times New Roman"/>
          <w:szCs w:val="24"/>
        </w:rPr>
        <w:t>〈不</w:t>
      </w:r>
      <w:proofErr w:type="gramEnd"/>
      <w:r w:rsidRPr="00DB00C8">
        <w:rPr>
          <w:rFonts w:ascii="Times New Roman" w:hAnsi="Times New Roman" w:cs="Times New Roman"/>
          <w:szCs w:val="24"/>
        </w:rPr>
        <w:t>止於道德：朱熹格物窮理之學的</w:t>
      </w:r>
      <w:proofErr w:type="gramStart"/>
      <w:r w:rsidRPr="00DB00C8">
        <w:rPr>
          <w:rFonts w:ascii="Times New Roman" w:hAnsi="Times New Roman" w:cs="Times New Roman"/>
          <w:szCs w:val="24"/>
        </w:rPr>
        <w:t>內聖學意義〉</w:t>
      </w:r>
      <w:proofErr w:type="gramEnd"/>
      <w:r w:rsidRPr="00DB00C8">
        <w:rPr>
          <w:rFonts w:ascii="Times New Roman" w:hAnsi="Times New Roman" w:cs="Times New Roman"/>
          <w:szCs w:val="24"/>
        </w:rPr>
        <w:t>從「道德修養」、「知識求取」、「美學修養」三個面向，反思儒家</w:t>
      </w:r>
      <w:proofErr w:type="gramStart"/>
      <w:r w:rsidRPr="00DB00C8">
        <w:rPr>
          <w:rFonts w:ascii="Times New Roman" w:hAnsi="Times New Roman" w:cs="Times New Roman"/>
          <w:szCs w:val="24"/>
        </w:rPr>
        <w:t>自我完養</w:t>
      </w:r>
      <w:proofErr w:type="gramEnd"/>
      <w:r w:rsidRPr="00DB00C8">
        <w:rPr>
          <w:rFonts w:ascii="Times New Roman" w:hAnsi="Times New Roman" w:cs="Times New Roman"/>
          <w:szCs w:val="24"/>
        </w:rPr>
        <w:t>的內涵與層次，重新衡量道德修養</w:t>
      </w:r>
      <w:proofErr w:type="gramStart"/>
      <w:r w:rsidRPr="00DB00C8">
        <w:rPr>
          <w:rFonts w:ascii="Times New Roman" w:hAnsi="Times New Roman" w:cs="Times New Roman"/>
          <w:szCs w:val="24"/>
        </w:rPr>
        <w:t>在內聖學中的</w:t>
      </w:r>
      <w:proofErr w:type="gramEnd"/>
      <w:r w:rsidRPr="00DB00C8">
        <w:rPr>
          <w:rFonts w:ascii="Times New Roman" w:hAnsi="Times New Roman" w:cs="Times New Roman"/>
          <w:szCs w:val="24"/>
        </w:rPr>
        <w:t>地位，</w:t>
      </w:r>
      <w:proofErr w:type="gramStart"/>
      <w:r w:rsidRPr="00DB00C8">
        <w:rPr>
          <w:rFonts w:ascii="Times New Roman" w:hAnsi="Times New Roman" w:cs="Times New Roman"/>
          <w:szCs w:val="24"/>
        </w:rPr>
        <w:t>並省思</w:t>
      </w:r>
      <w:proofErr w:type="gramEnd"/>
      <w:r w:rsidRPr="00DB00C8">
        <w:rPr>
          <w:rFonts w:ascii="Times New Roman" w:hAnsi="Times New Roman" w:cs="Times New Roman"/>
          <w:szCs w:val="24"/>
        </w:rPr>
        <w:t>後世儒學發展的得失。陳志杰博士後研究員</w:t>
      </w:r>
      <w:proofErr w:type="gramStart"/>
      <w:r w:rsidRPr="00DB00C8">
        <w:rPr>
          <w:rFonts w:ascii="Times New Roman" w:hAnsi="Times New Roman" w:cs="Times New Roman"/>
          <w:szCs w:val="24"/>
        </w:rPr>
        <w:t>〈</w:t>
      </w:r>
      <w:proofErr w:type="gramEnd"/>
      <w:r w:rsidRPr="00DB00C8">
        <w:rPr>
          <w:rFonts w:ascii="Times New Roman" w:hAnsi="Times New Roman" w:cs="Times New Roman"/>
          <w:szCs w:val="24"/>
        </w:rPr>
        <w:t>朱子的居敬窮理是否為先天超越的工夫？〉從「</w:t>
      </w:r>
      <w:proofErr w:type="gramStart"/>
      <w:r w:rsidRPr="00DB00C8">
        <w:rPr>
          <w:rFonts w:ascii="Times New Roman" w:hAnsi="Times New Roman" w:cs="Times New Roman"/>
          <w:szCs w:val="24"/>
        </w:rPr>
        <w:t>心具理</w:t>
      </w:r>
      <w:proofErr w:type="gramEnd"/>
      <w:r w:rsidRPr="00DB00C8">
        <w:rPr>
          <w:rFonts w:ascii="Times New Roman" w:hAnsi="Times New Roman" w:cs="Times New Roman"/>
          <w:szCs w:val="24"/>
        </w:rPr>
        <w:t>」的義理出發，檢視牟宗三工夫論詮釋的論述縫隙，</w:t>
      </w:r>
      <w:proofErr w:type="gramStart"/>
      <w:r w:rsidRPr="00DB00C8">
        <w:rPr>
          <w:rFonts w:ascii="Times New Roman" w:hAnsi="Times New Roman" w:cs="Times New Roman"/>
          <w:szCs w:val="24"/>
        </w:rPr>
        <w:t>指出氣心具有先天具理之</w:t>
      </w:r>
      <w:proofErr w:type="gramEnd"/>
      <w:r w:rsidRPr="00DB00C8">
        <w:rPr>
          <w:rFonts w:ascii="Times New Roman" w:hAnsi="Times New Roman" w:cs="Times New Roman"/>
          <w:szCs w:val="24"/>
        </w:rPr>
        <w:t>作用，</w:t>
      </w:r>
      <w:proofErr w:type="gramStart"/>
      <w:r w:rsidRPr="00DB00C8">
        <w:rPr>
          <w:rFonts w:ascii="Times New Roman" w:hAnsi="Times New Roman" w:cs="Times New Roman"/>
          <w:szCs w:val="24"/>
        </w:rPr>
        <w:t>性理亦</w:t>
      </w:r>
      <w:proofErr w:type="gramEnd"/>
      <w:r w:rsidRPr="00DB00C8">
        <w:rPr>
          <w:rFonts w:ascii="Times New Roman" w:hAnsi="Times New Roman" w:cs="Times New Roman"/>
          <w:szCs w:val="24"/>
        </w:rPr>
        <w:t>能</w:t>
      </w:r>
      <w:proofErr w:type="gramStart"/>
      <w:r w:rsidRPr="00DB00C8">
        <w:rPr>
          <w:rFonts w:ascii="Times New Roman" w:hAnsi="Times New Roman" w:cs="Times New Roman"/>
          <w:szCs w:val="24"/>
        </w:rPr>
        <w:t>於氣心中</w:t>
      </w:r>
      <w:proofErr w:type="gramEnd"/>
      <w:r w:rsidRPr="00DB00C8">
        <w:rPr>
          <w:rFonts w:ascii="Times New Roman" w:hAnsi="Times New Roman" w:cs="Times New Roman"/>
          <w:szCs w:val="24"/>
        </w:rPr>
        <w:t>發用；據此主張居敬</w:t>
      </w:r>
      <w:r w:rsidRPr="00DB00C8">
        <w:rPr>
          <w:rFonts w:ascii="Times New Roman" w:hAnsi="Times New Roman" w:cs="Times New Roman"/>
          <w:szCs w:val="24"/>
        </w:rPr>
        <w:t>與窮理分別奠基</w:t>
      </w:r>
      <w:proofErr w:type="gramStart"/>
      <w:r w:rsidRPr="00DB00C8">
        <w:rPr>
          <w:rFonts w:ascii="Times New Roman" w:hAnsi="Times New Roman" w:cs="Times New Roman"/>
          <w:szCs w:val="24"/>
        </w:rPr>
        <w:t>於氣心先天具理</w:t>
      </w:r>
      <w:proofErr w:type="gramEnd"/>
      <w:r w:rsidRPr="00DB00C8">
        <w:rPr>
          <w:rFonts w:ascii="Times New Roman" w:hAnsi="Times New Roman" w:cs="Times New Roman"/>
          <w:szCs w:val="24"/>
        </w:rPr>
        <w:t>之作用，從而論證其工夫具有先天超越的意義。梁奮程教授</w:t>
      </w:r>
      <w:proofErr w:type="gramStart"/>
      <w:r w:rsidRPr="00DB00C8">
        <w:rPr>
          <w:rFonts w:ascii="Times New Roman" w:hAnsi="Times New Roman" w:cs="Times New Roman"/>
          <w:szCs w:val="24"/>
        </w:rPr>
        <w:t>〈</w:t>
      </w:r>
      <w:proofErr w:type="gramEnd"/>
      <w:r w:rsidRPr="00DB00C8">
        <w:rPr>
          <w:rFonts w:ascii="Times New Roman" w:hAnsi="Times New Roman" w:cs="Times New Roman"/>
          <w:szCs w:val="24"/>
        </w:rPr>
        <w:t>安與不仁：「宰我問三年之喪」章的雙層理由結構與修養橋</w:t>
      </w:r>
      <w:proofErr w:type="gramStart"/>
      <w:r w:rsidRPr="00DB00C8">
        <w:rPr>
          <w:rFonts w:ascii="Times New Roman" w:hAnsi="Times New Roman" w:cs="Times New Roman"/>
          <w:szCs w:val="24"/>
        </w:rPr>
        <w:t>〉</w:t>
      </w:r>
      <w:proofErr w:type="gramEnd"/>
      <w:r w:rsidRPr="00DB00C8">
        <w:rPr>
          <w:rFonts w:ascii="Times New Roman" w:hAnsi="Times New Roman" w:cs="Times New Roman"/>
          <w:szCs w:val="24"/>
        </w:rPr>
        <w:t>以</w:t>
      </w:r>
      <w:proofErr w:type="gramStart"/>
      <w:r w:rsidRPr="00DB00C8">
        <w:rPr>
          <w:rFonts w:ascii="Times New Roman" w:hAnsi="Times New Roman" w:cs="Times New Roman"/>
          <w:szCs w:val="24"/>
        </w:rPr>
        <w:t>《</w:t>
      </w:r>
      <w:proofErr w:type="gramEnd"/>
      <w:r w:rsidRPr="00DB00C8">
        <w:rPr>
          <w:rFonts w:ascii="Times New Roman" w:hAnsi="Times New Roman" w:cs="Times New Roman"/>
          <w:szCs w:val="24"/>
        </w:rPr>
        <w:t>論語．陽貨</w:t>
      </w:r>
      <w:proofErr w:type="gramStart"/>
      <w:r w:rsidRPr="00DB00C8">
        <w:rPr>
          <w:rFonts w:ascii="Times New Roman" w:hAnsi="Times New Roman" w:cs="Times New Roman"/>
          <w:szCs w:val="24"/>
        </w:rPr>
        <w:t>》</w:t>
      </w:r>
      <w:proofErr w:type="gramEnd"/>
      <w:r w:rsidRPr="00DB00C8">
        <w:rPr>
          <w:rFonts w:ascii="Times New Roman" w:hAnsi="Times New Roman" w:cs="Times New Roman"/>
          <w:szCs w:val="24"/>
        </w:rPr>
        <w:t>該章為核心，探討儒家喪禮規範的正當性及其對行動的驅動作用；文章援引當代哲學關於理由內在論與外在論的討論，提出「修養型雙層理由論」，區分規範的客觀性與主體接受理由的能力，並以道德修養說明規範如何轉化為行動動力，深化對孔子責難語言與儒家教化機制的理解。</w:t>
      </w:r>
    </w:p>
    <w:p w14:paraId="110511DD" w14:textId="77777777" w:rsidR="00875635" w:rsidRPr="00DB00C8" w:rsidRDefault="00B27F27" w:rsidP="00A0445A">
      <w:pPr>
        <w:overflowPunct w:val="0"/>
        <w:spacing w:line="360" w:lineRule="exact"/>
        <w:ind w:firstLine="480"/>
        <w:jc w:val="both"/>
        <w:rPr>
          <w:rFonts w:ascii="Times New Roman" w:hAnsi="Times New Roman" w:cs="Times New Roman"/>
          <w:szCs w:val="24"/>
        </w:rPr>
      </w:pPr>
      <w:r w:rsidRPr="00DB00C8">
        <w:rPr>
          <w:rFonts w:ascii="Times New Roman" w:hAnsi="Times New Roman" w:cs="Times New Roman"/>
          <w:szCs w:val="24"/>
        </w:rPr>
        <w:t>本期得以順利付梓，有賴各篇作者惠賜鴻文、審查委員悉心審閱，以及編輯團隊的</w:t>
      </w:r>
      <w:proofErr w:type="gramStart"/>
      <w:r w:rsidRPr="00DB00C8">
        <w:rPr>
          <w:rFonts w:ascii="Times New Roman" w:hAnsi="Times New Roman" w:cs="Times New Roman"/>
          <w:szCs w:val="24"/>
        </w:rPr>
        <w:t>勤勉校理</w:t>
      </w:r>
      <w:proofErr w:type="gramEnd"/>
      <w:r w:rsidRPr="00DB00C8">
        <w:rPr>
          <w:rFonts w:ascii="Times New Roman" w:hAnsi="Times New Roman" w:cs="Times New Roman"/>
          <w:szCs w:val="24"/>
        </w:rPr>
        <w:t>，謹此一併致謝，並</w:t>
      </w:r>
      <w:proofErr w:type="gramStart"/>
      <w:r w:rsidRPr="00DB00C8">
        <w:rPr>
          <w:rFonts w:ascii="Times New Roman" w:hAnsi="Times New Roman" w:cs="Times New Roman"/>
          <w:szCs w:val="24"/>
        </w:rPr>
        <w:t>祈</w:t>
      </w:r>
      <w:proofErr w:type="gramEnd"/>
      <w:r w:rsidRPr="00DB00C8">
        <w:rPr>
          <w:rFonts w:ascii="Times New Roman" w:hAnsi="Times New Roman" w:cs="Times New Roman"/>
          <w:szCs w:val="24"/>
        </w:rPr>
        <w:t>學界先進不</w:t>
      </w:r>
      <w:r w:rsidRPr="00DB00C8">
        <w:rPr>
          <w:rFonts w:ascii="Times New Roman" w:hAnsi="Times New Roman" w:cs="Times New Roman"/>
          <w:szCs w:val="24"/>
        </w:rPr>
        <w:t>吝指正。</w:t>
      </w:r>
    </w:p>
    <w:p w14:paraId="34971D27" w14:textId="77777777" w:rsidR="00A0445A" w:rsidRPr="00DB00C8" w:rsidRDefault="00A0445A" w:rsidP="00A0445A">
      <w:pPr>
        <w:overflowPunct w:val="0"/>
        <w:spacing w:line="360" w:lineRule="exact"/>
        <w:jc w:val="both"/>
        <w:rPr>
          <w:rFonts w:ascii="Times New Roman" w:hAnsi="Times New Roman" w:cs="Times New Roman"/>
          <w:szCs w:val="24"/>
        </w:rPr>
      </w:pPr>
    </w:p>
    <w:p w14:paraId="30FA1F73" w14:textId="77777777" w:rsidR="00A0445A" w:rsidRPr="00DB00C8" w:rsidRDefault="00A0445A" w:rsidP="00A0445A">
      <w:pPr>
        <w:overflowPunct w:val="0"/>
        <w:spacing w:line="360" w:lineRule="exact"/>
        <w:jc w:val="both"/>
        <w:rPr>
          <w:rFonts w:ascii="Times New Roman" w:hAnsi="Times New Roman" w:cs="Times New Roman"/>
          <w:szCs w:val="24"/>
        </w:rPr>
      </w:pPr>
    </w:p>
    <w:p w14:paraId="27EEB42C" w14:textId="77777777" w:rsidR="00A0445A" w:rsidRPr="00DB00C8" w:rsidRDefault="00A0445A" w:rsidP="00A0445A">
      <w:pPr>
        <w:overflowPunct w:val="0"/>
        <w:spacing w:line="360" w:lineRule="exact"/>
        <w:jc w:val="both"/>
        <w:rPr>
          <w:rFonts w:ascii="Times New Roman" w:hAnsi="Times New Roman" w:cs="Times New Roman"/>
          <w:szCs w:val="24"/>
        </w:rPr>
      </w:pPr>
    </w:p>
    <w:p w14:paraId="0A8B00B6" w14:textId="0732DCDF" w:rsidR="006C682F" w:rsidRPr="00DB00C8" w:rsidRDefault="006C682F" w:rsidP="00A0445A">
      <w:pPr>
        <w:overflowPunct w:val="0"/>
        <w:spacing w:line="360" w:lineRule="exact"/>
        <w:jc w:val="right"/>
        <w:rPr>
          <w:rFonts w:ascii="Times New Roman" w:hAnsi="Times New Roman" w:cs="Times New Roman"/>
          <w:szCs w:val="24"/>
        </w:rPr>
      </w:pPr>
      <w:r w:rsidRPr="00DB00C8">
        <w:rPr>
          <w:rFonts w:ascii="Times New Roman" w:hAnsi="Times New Roman" w:cs="Times New Roman"/>
          <w:szCs w:val="24"/>
        </w:rPr>
        <w:t>總編輯</w:t>
      </w:r>
      <w:r w:rsidRPr="00DB00C8">
        <w:rPr>
          <w:rFonts w:ascii="Times New Roman" w:hAnsi="Times New Roman" w:cs="Times New Roman"/>
          <w:szCs w:val="24"/>
        </w:rPr>
        <w:t xml:space="preserve">  </w:t>
      </w:r>
      <w:r w:rsidR="00A3101B" w:rsidRPr="00DB00C8">
        <w:rPr>
          <w:rFonts w:ascii="Times New Roman" w:hAnsi="Times New Roman" w:cs="Times New Roman"/>
          <w:szCs w:val="24"/>
        </w:rPr>
        <w:t>陳佳銘</w:t>
      </w:r>
      <w:r w:rsidRPr="00DB00C8">
        <w:rPr>
          <w:rFonts w:ascii="Times New Roman" w:hAnsi="Times New Roman" w:cs="Times New Roman"/>
          <w:szCs w:val="24"/>
        </w:rPr>
        <w:t xml:space="preserve">  </w:t>
      </w:r>
      <w:r w:rsidRPr="00DB00C8">
        <w:rPr>
          <w:rFonts w:ascii="Times New Roman" w:hAnsi="Times New Roman" w:cs="Times New Roman"/>
          <w:szCs w:val="24"/>
        </w:rPr>
        <w:t>謹識</w:t>
      </w:r>
    </w:p>
    <w:sectPr w:rsidR="006C682F" w:rsidRPr="00DB00C8" w:rsidSect="007831C6">
      <w:pgSz w:w="11906" w:h="16838"/>
      <w:pgMar w:top="1440" w:right="1797" w:bottom="187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6BFCA" w14:textId="77777777" w:rsidR="00B27F27" w:rsidRDefault="00B27F27" w:rsidP="005332C9">
      <w:r>
        <w:separator/>
      </w:r>
    </w:p>
  </w:endnote>
  <w:endnote w:type="continuationSeparator" w:id="0">
    <w:p w14:paraId="03E69010" w14:textId="77777777" w:rsidR="00B27F27" w:rsidRDefault="00B27F27" w:rsidP="00533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粗明體">
    <w:panose1 w:val="02020709000000000000"/>
    <w:charset w:val="88"/>
    <w:family w:val="modern"/>
    <w:pitch w:val="fixed"/>
    <w:sig w:usb0="A00002FF" w:usb1="3A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0BB83" w14:textId="77777777" w:rsidR="00B27F27" w:rsidRDefault="00B27F27" w:rsidP="005332C9">
      <w:r>
        <w:separator/>
      </w:r>
    </w:p>
  </w:footnote>
  <w:footnote w:type="continuationSeparator" w:id="0">
    <w:p w14:paraId="5483FB33" w14:textId="77777777" w:rsidR="00B27F27" w:rsidRDefault="00B27F27" w:rsidP="005332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6C37"/>
    <w:rsid w:val="000806C4"/>
    <w:rsid w:val="000D23F7"/>
    <w:rsid w:val="000E646C"/>
    <w:rsid w:val="000F1C9C"/>
    <w:rsid w:val="00166455"/>
    <w:rsid w:val="00253B89"/>
    <w:rsid w:val="00284EFA"/>
    <w:rsid w:val="002A2A93"/>
    <w:rsid w:val="002F4B69"/>
    <w:rsid w:val="00353D02"/>
    <w:rsid w:val="00385825"/>
    <w:rsid w:val="003B192A"/>
    <w:rsid w:val="003D3D10"/>
    <w:rsid w:val="003F4243"/>
    <w:rsid w:val="00411EC4"/>
    <w:rsid w:val="00436C37"/>
    <w:rsid w:val="00456778"/>
    <w:rsid w:val="00492CF2"/>
    <w:rsid w:val="004B06C8"/>
    <w:rsid w:val="004C306D"/>
    <w:rsid w:val="004D6BD7"/>
    <w:rsid w:val="005266FD"/>
    <w:rsid w:val="005321CB"/>
    <w:rsid w:val="005332C9"/>
    <w:rsid w:val="005509E1"/>
    <w:rsid w:val="00586A54"/>
    <w:rsid w:val="00604A89"/>
    <w:rsid w:val="006127E1"/>
    <w:rsid w:val="006456D2"/>
    <w:rsid w:val="00665B4E"/>
    <w:rsid w:val="00692A8E"/>
    <w:rsid w:val="006C682F"/>
    <w:rsid w:val="006E050D"/>
    <w:rsid w:val="0076480A"/>
    <w:rsid w:val="007831C6"/>
    <w:rsid w:val="00790E87"/>
    <w:rsid w:val="007C4F63"/>
    <w:rsid w:val="0081459D"/>
    <w:rsid w:val="00875635"/>
    <w:rsid w:val="00883025"/>
    <w:rsid w:val="008B723E"/>
    <w:rsid w:val="008F0DDC"/>
    <w:rsid w:val="00953975"/>
    <w:rsid w:val="00964FA3"/>
    <w:rsid w:val="00977FC9"/>
    <w:rsid w:val="00A0445A"/>
    <w:rsid w:val="00A2397B"/>
    <w:rsid w:val="00A3101B"/>
    <w:rsid w:val="00A41099"/>
    <w:rsid w:val="00A6447F"/>
    <w:rsid w:val="00AA2B8F"/>
    <w:rsid w:val="00B27F27"/>
    <w:rsid w:val="00B34E45"/>
    <w:rsid w:val="00B722D4"/>
    <w:rsid w:val="00C33827"/>
    <w:rsid w:val="00C81411"/>
    <w:rsid w:val="00C94E39"/>
    <w:rsid w:val="00CA3FA2"/>
    <w:rsid w:val="00CD37CB"/>
    <w:rsid w:val="00D6662A"/>
    <w:rsid w:val="00DB00C8"/>
    <w:rsid w:val="00E24626"/>
    <w:rsid w:val="00E820CB"/>
    <w:rsid w:val="00E8787F"/>
    <w:rsid w:val="00E947A9"/>
    <w:rsid w:val="00EB27E2"/>
    <w:rsid w:val="00F16F04"/>
    <w:rsid w:val="00F52889"/>
    <w:rsid w:val="00F53429"/>
    <w:rsid w:val="00F94948"/>
    <w:rsid w:val="00FC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21B5FF"/>
  <w15:docId w15:val="{43644650-7BC6-4474-B928-C33486218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般寫作"/>
    <w:basedOn w:val="a4"/>
    <w:link w:val="a5"/>
    <w:autoRedefine/>
    <w:qFormat/>
    <w:rsid w:val="007C4F63"/>
    <w:pPr>
      <w:widowControl/>
      <w:spacing w:beforeLines="50" w:before="180" w:afterLines="20" w:after="72"/>
      <w:ind w:leftChars="0" w:left="0" w:firstLineChars="195" w:firstLine="390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a5">
    <w:name w:val="一般寫作 字元"/>
    <w:basedOn w:val="a0"/>
    <w:link w:val="a3"/>
    <w:rsid w:val="007C4F63"/>
    <w:rPr>
      <w:rFonts w:ascii="Times New Roman" w:eastAsia="新細明體" w:hAnsi="Times New Roman" w:cs="Times New Roman"/>
      <w:kern w:val="0"/>
      <w:szCs w:val="20"/>
    </w:rPr>
  </w:style>
  <w:style w:type="paragraph" w:styleId="a4">
    <w:name w:val="List Paragraph"/>
    <w:basedOn w:val="a"/>
    <w:uiPriority w:val="34"/>
    <w:qFormat/>
    <w:rsid w:val="007C4F63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5332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332C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332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332C9"/>
    <w:rPr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7831C6"/>
    <w:pPr>
      <w:snapToGrid w:val="0"/>
    </w:pPr>
    <w:rPr>
      <w:sz w:val="20"/>
      <w:szCs w:val="20"/>
    </w:rPr>
  </w:style>
  <w:style w:type="character" w:customStyle="1" w:styleId="ab">
    <w:name w:val="註腳文字 字元"/>
    <w:basedOn w:val="a0"/>
    <w:link w:val="aa"/>
    <w:uiPriority w:val="99"/>
    <w:semiHidden/>
    <w:rsid w:val="007831C6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831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1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FC68B-68A1-4B1E-8A14-52F02942C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2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Yujun Yang</dc:creator>
  <cp:keywords/>
  <dc:description/>
  <cp:lastModifiedBy>ASUS</cp:lastModifiedBy>
  <cp:revision>27</cp:revision>
  <dcterms:created xsi:type="dcterms:W3CDTF">2026-03-21T13:11:00Z</dcterms:created>
  <dcterms:modified xsi:type="dcterms:W3CDTF">2026-10-15T02:11:00Z</dcterms:modified>
</cp:coreProperties>
</file>