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3F7F" w14:textId="02275C37" w:rsidR="005475E0" w:rsidRPr="00923EF6" w:rsidRDefault="005475E0" w:rsidP="005475E0">
      <w:pPr>
        <w:jc w:val="center"/>
        <w:rPr>
          <w:rFonts w:ascii="華康粗明體" w:eastAsia="華康粗明體" w:hAnsi="Times New Roman" w:cs="Times New Roman"/>
          <w:b/>
          <w:sz w:val="28"/>
          <w:szCs w:val="28"/>
        </w:rPr>
      </w:pPr>
      <w:r w:rsidRPr="00923EF6">
        <w:rPr>
          <w:rFonts w:ascii="華康粗明體" w:eastAsia="華康粗明體" w:hAnsi="Times New Roman" w:cs="Times New Roman" w:hint="eastAsia"/>
          <w:b/>
          <w:sz w:val="28"/>
          <w:szCs w:val="28"/>
        </w:rPr>
        <w:t>「再探儒家心論」專輯序</w:t>
      </w:r>
    </w:p>
    <w:p w14:paraId="6505C150" w14:textId="28D613D3" w:rsidR="005475E0" w:rsidRPr="003E6D07" w:rsidRDefault="005475E0" w:rsidP="005475E0">
      <w:pPr>
        <w:spacing w:beforeLines="50" w:before="180"/>
        <w:jc w:val="center"/>
      </w:pPr>
      <w:r w:rsidRPr="003E6D07">
        <w:rPr>
          <w:rFonts w:hint="eastAsia"/>
        </w:rPr>
        <w:t>專輯主編／賴柯助</w:t>
      </w:r>
    </w:p>
    <w:p w14:paraId="21F42546" w14:textId="0B4F2253" w:rsidR="005475E0" w:rsidRPr="003E6D07" w:rsidRDefault="00587A55" w:rsidP="00923EF6">
      <w:pPr>
        <w:spacing w:beforeLines="50" w:before="180"/>
        <w:ind w:firstLineChars="200" w:firstLine="480"/>
        <w:jc w:val="both"/>
      </w:pPr>
      <w:r w:rsidRPr="003E6D07">
        <w:rPr>
          <w:rFonts w:hint="eastAsia"/>
        </w:rPr>
        <w:t>儒家內聖成德之學的理論奠基在人之</w:t>
      </w:r>
      <w:r w:rsidR="00B25A39">
        <w:rPr>
          <w:rFonts w:hint="eastAsia"/>
        </w:rPr>
        <w:t>道德</w:t>
      </w:r>
      <w:r w:rsidRPr="003E6D07">
        <w:rPr>
          <w:rFonts w:hint="eastAsia"/>
        </w:rPr>
        <w:t>心性，此是人之道德實踐所以可能的先天根據</w:t>
      </w:r>
      <w:r w:rsidR="00B25A39">
        <w:rPr>
          <w:rFonts w:hint="eastAsia"/>
        </w:rPr>
        <w:t>，故而亦稱心性之學</w:t>
      </w:r>
      <w:r w:rsidRPr="003E6D07">
        <w:rPr>
          <w:rFonts w:hint="eastAsia"/>
        </w:rPr>
        <w:t>。</w:t>
      </w:r>
      <w:r w:rsidR="005475E0" w:rsidRPr="003E6D07">
        <w:rPr>
          <w:rFonts w:hint="eastAsia"/>
        </w:rPr>
        <w:t>本專輯以「再探儒家心論」為題，期望</w:t>
      </w:r>
      <w:r w:rsidR="00B25A39">
        <w:rPr>
          <w:rFonts w:hint="eastAsia"/>
        </w:rPr>
        <w:t>結合</w:t>
      </w:r>
      <w:r w:rsidR="005475E0" w:rsidRPr="003E6D07">
        <w:rPr>
          <w:rFonts w:hint="eastAsia"/>
        </w:rPr>
        <w:t>經典</w:t>
      </w:r>
      <w:r w:rsidR="00B25A39">
        <w:rPr>
          <w:rFonts w:hint="eastAsia"/>
        </w:rPr>
        <w:t>詮釋</w:t>
      </w:r>
      <w:r w:rsidR="005475E0" w:rsidRPr="003E6D07">
        <w:rPr>
          <w:rFonts w:hint="eastAsia"/>
        </w:rPr>
        <w:t>與哲學論辯，深化對</w:t>
      </w:r>
      <w:r w:rsidR="00B25A39">
        <w:rPr>
          <w:rFonts w:hint="eastAsia"/>
        </w:rPr>
        <w:t>於</w:t>
      </w:r>
      <w:r w:rsidR="002E4D3B" w:rsidRPr="003E6D07">
        <w:rPr>
          <w:rFonts w:hint="eastAsia"/>
        </w:rPr>
        <w:t>道德規範與道德實踐動力的來源、修養工夫的理論奠基等議</w:t>
      </w:r>
      <w:r w:rsidR="005475E0" w:rsidRPr="003E6D07">
        <w:rPr>
          <w:rFonts w:hint="eastAsia"/>
        </w:rPr>
        <w:t>題的</w:t>
      </w:r>
      <w:r w:rsidR="002E4D3B" w:rsidRPr="003E6D07">
        <w:rPr>
          <w:rFonts w:hint="eastAsia"/>
        </w:rPr>
        <w:t>探究</w:t>
      </w:r>
      <w:r w:rsidR="005475E0" w:rsidRPr="003E6D07">
        <w:rPr>
          <w:rFonts w:hint="eastAsia"/>
        </w:rPr>
        <w:t>。所收三篇論文，分別由</w:t>
      </w:r>
      <w:proofErr w:type="gramStart"/>
      <w:r w:rsidR="005475E0" w:rsidRPr="003E6D07">
        <w:rPr>
          <w:rFonts w:hint="eastAsia"/>
        </w:rPr>
        <w:t>孔子與宰我</w:t>
      </w:r>
      <w:proofErr w:type="gramEnd"/>
      <w:r w:rsidR="007610D3" w:rsidRPr="003E6D07">
        <w:rPr>
          <w:rFonts w:hint="eastAsia"/>
        </w:rPr>
        <w:t>對於</w:t>
      </w:r>
      <w:r w:rsidR="005475E0" w:rsidRPr="003E6D07">
        <w:rPr>
          <w:rFonts w:hint="eastAsia"/>
        </w:rPr>
        <w:t>喪禮</w:t>
      </w:r>
      <w:r w:rsidR="007610D3" w:rsidRPr="003E6D07">
        <w:rPr>
          <w:rFonts w:hint="eastAsia"/>
        </w:rPr>
        <w:t>之規範理由的</w:t>
      </w:r>
      <w:r w:rsidR="005475E0" w:rsidRPr="003E6D07">
        <w:rPr>
          <w:rFonts w:hint="eastAsia"/>
        </w:rPr>
        <w:t>論辯探究</w:t>
      </w:r>
      <w:r w:rsidR="007610D3" w:rsidRPr="003E6D07">
        <w:rPr>
          <w:rFonts w:hint="eastAsia"/>
        </w:rPr>
        <w:t>證成</w:t>
      </w:r>
      <w:r w:rsidR="005475E0" w:rsidRPr="003E6D07">
        <w:rPr>
          <w:rFonts w:hint="eastAsia"/>
        </w:rPr>
        <w:t>理由</w:t>
      </w:r>
      <w:r w:rsidR="007610D3" w:rsidRPr="003E6D07">
        <w:rPr>
          <w:rFonts w:hint="eastAsia"/>
        </w:rPr>
        <w:t>與</w:t>
      </w:r>
      <w:r w:rsidR="005475E0" w:rsidRPr="003E6D07">
        <w:rPr>
          <w:rFonts w:hint="eastAsia"/>
        </w:rPr>
        <w:t>修養動力</w:t>
      </w:r>
      <w:r w:rsidR="007610D3" w:rsidRPr="003E6D07">
        <w:rPr>
          <w:rFonts w:hint="eastAsia"/>
        </w:rPr>
        <w:t>、</w:t>
      </w:r>
      <w:r w:rsidR="005475E0" w:rsidRPr="003E6D07">
        <w:rPr>
          <w:rFonts w:hint="eastAsia"/>
        </w:rPr>
        <w:t>由朱熹格物窮理之學考察道德、知識與美學修養在內聖實踐中的位置</w:t>
      </w:r>
      <w:r w:rsidR="007610D3" w:rsidRPr="003E6D07">
        <w:rPr>
          <w:rFonts w:hint="eastAsia"/>
        </w:rPr>
        <w:t>，以及</w:t>
      </w:r>
      <w:r w:rsidR="005475E0" w:rsidRPr="003E6D07">
        <w:rPr>
          <w:rFonts w:hint="eastAsia"/>
        </w:rPr>
        <w:t>透過</w:t>
      </w:r>
      <w:proofErr w:type="gramStart"/>
      <w:r w:rsidR="005475E0" w:rsidRPr="003E6D07">
        <w:rPr>
          <w:rFonts w:hint="eastAsia"/>
        </w:rPr>
        <w:t>反思牟宗</w:t>
      </w:r>
      <w:proofErr w:type="gramEnd"/>
      <w:r w:rsidR="005475E0" w:rsidRPr="003E6D07">
        <w:rPr>
          <w:rFonts w:hint="eastAsia"/>
        </w:rPr>
        <w:t>三的朱子詮釋，重審居敬窮理的先天超越根據。三</w:t>
      </w:r>
      <w:r w:rsidR="002E4D3B" w:rsidRPr="003E6D07">
        <w:rPr>
          <w:rFonts w:hint="eastAsia"/>
        </w:rPr>
        <w:t>篇文章各有其哲學關懷與問題意識</w:t>
      </w:r>
      <w:r w:rsidR="005475E0" w:rsidRPr="003E6D07">
        <w:rPr>
          <w:rFonts w:hint="eastAsia"/>
        </w:rPr>
        <w:t>，卻</w:t>
      </w:r>
      <w:r w:rsidR="00B25A39">
        <w:rPr>
          <w:rFonts w:hint="eastAsia"/>
        </w:rPr>
        <w:t>促成我們</w:t>
      </w:r>
      <w:r w:rsidR="002E4D3B" w:rsidRPr="003E6D07">
        <w:rPr>
          <w:rFonts w:hint="eastAsia"/>
        </w:rPr>
        <w:t>探問</w:t>
      </w:r>
      <w:r w:rsidR="00B25A39">
        <w:rPr>
          <w:rFonts w:hint="eastAsia"/>
        </w:rPr>
        <w:t>：</w:t>
      </w:r>
      <w:r w:rsidR="002E4D3B" w:rsidRPr="003E6D07">
        <w:rPr>
          <w:rFonts w:hint="eastAsia"/>
        </w:rPr>
        <w:t>「</w:t>
      </w:r>
      <w:r w:rsidR="005475E0" w:rsidRPr="003E6D07">
        <w:rPr>
          <w:rFonts w:hint="eastAsia"/>
        </w:rPr>
        <w:t>心</w:t>
      </w:r>
      <w:r w:rsidR="002E4D3B" w:rsidRPr="003E6D07">
        <w:rPr>
          <w:rFonts w:hint="eastAsia"/>
        </w:rPr>
        <w:t>」作為儒學的核心概念，在不同儒者使用下的意義</w:t>
      </w:r>
      <w:r w:rsidR="00B25A39">
        <w:rPr>
          <w:rFonts w:hint="eastAsia"/>
        </w:rPr>
        <w:t>？它在</w:t>
      </w:r>
      <w:r w:rsidR="002E4D3B" w:rsidRPr="003E6D07">
        <w:rPr>
          <w:rFonts w:hint="eastAsia"/>
        </w:rPr>
        <w:t>涉及</w:t>
      </w:r>
      <w:r w:rsidR="005475E0" w:rsidRPr="003E6D07">
        <w:rPr>
          <w:rFonts w:hint="eastAsia"/>
        </w:rPr>
        <w:t>規範</w:t>
      </w:r>
      <w:r w:rsidR="002E4D3B" w:rsidRPr="003E6D07">
        <w:rPr>
          <w:rFonts w:hint="eastAsia"/>
        </w:rPr>
        <w:t>性的回應</w:t>
      </w:r>
      <w:r w:rsidR="005475E0" w:rsidRPr="003E6D07">
        <w:rPr>
          <w:rFonts w:hint="eastAsia"/>
        </w:rPr>
        <w:t>、修養</w:t>
      </w:r>
      <w:r w:rsidR="002E4D3B" w:rsidRPr="003E6D07">
        <w:rPr>
          <w:rFonts w:hint="eastAsia"/>
        </w:rPr>
        <w:t>模式的建構，以及如何</w:t>
      </w:r>
      <w:r w:rsidR="005475E0" w:rsidRPr="003E6D07">
        <w:rPr>
          <w:rFonts w:hint="eastAsia"/>
        </w:rPr>
        <w:t>成就</w:t>
      </w:r>
      <w:r w:rsidR="002E4D3B" w:rsidRPr="003E6D07">
        <w:rPr>
          <w:rFonts w:hint="eastAsia"/>
        </w:rPr>
        <w:t>德性</w:t>
      </w:r>
      <w:r w:rsidR="005475E0" w:rsidRPr="003E6D07">
        <w:rPr>
          <w:rFonts w:hint="eastAsia"/>
        </w:rPr>
        <w:t>人格</w:t>
      </w:r>
      <w:r w:rsidR="002E4D3B" w:rsidRPr="003E6D07">
        <w:rPr>
          <w:rFonts w:hint="eastAsia"/>
        </w:rPr>
        <w:t>等實踐問題中所扮演的角色</w:t>
      </w:r>
      <w:r w:rsidR="00B25A39">
        <w:rPr>
          <w:rFonts w:hint="eastAsia"/>
        </w:rPr>
        <w:t>？</w:t>
      </w:r>
      <w:r w:rsidR="005475E0" w:rsidRPr="003E6D07">
        <w:rPr>
          <w:rFonts w:hint="eastAsia"/>
        </w:rPr>
        <w:t>我們希望</w:t>
      </w:r>
      <w:r w:rsidR="007610D3" w:rsidRPr="003E6D07">
        <w:rPr>
          <w:rFonts w:hint="eastAsia"/>
        </w:rPr>
        <w:t>秉持</w:t>
      </w:r>
      <w:r w:rsidR="002E4D3B" w:rsidRPr="003E6D07">
        <w:rPr>
          <w:rFonts w:hint="eastAsia"/>
        </w:rPr>
        <w:t>開放的</w:t>
      </w:r>
      <w:r w:rsidR="00A30CC4">
        <w:rPr>
          <w:rFonts w:hint="eastAsia"/>
        </w:rPr>
        <w:t>精神進行</w:t>
      </w:r>
      <w:r w:rsidR="005475E0" w:rsidRPr="003E6D07">
        <w:rPr>
          <w:rFonts w:hint="eastAsia"/>
        </w:rPr>
        <w:t>比較哲學的對話，</w:t>
      </w:r>
      <w:r w:rsidR="007610D3" w:rsidRPr="003E6D07">
        <w:rPr>
          <w:rFonts w:hint="eastAsia"/>
        </w:rPr>
        <w:t>開發儒學詮釋的可能性</w:t>
      </w:r>
      <w:r w:rsidR="005475E0" w:rsidRPr="003E6D07">
        <w:rPr>
          <w:rFonts w:hint="eastAsia"/>
        </w:rPr>
        <w:t>，</w:t>
      </w:r>
      <w:r w:rsidR="00A30CC4">
        <w:rPr>
          <w:rFonts w:hint="eastAsia"/>
        </w:rPr>
        <w:t>復</w:t>
      </w:r>
      <w:r w:rsidR="005475E0" w:rsidRPr="003E6D07">
        <w:rPr>
          <w:rFonts w:hint="eastAsia"/>
        </w:rPr>
        <w:t>以原典檢驗現代詮釋架構的適切性。</w:t>
      </w:r>
      <w:r w:rsidR="002E4D3B" w:rsidRPr="003E6D07">
        <w:rPr>
          <w:rFonts w:hint="eastAsia"/>
        </w:rPr>
        <w:t>我們</w:t>
      </w:r>
      <w:r w:rsidR="00360067" w:rsidRPr="003E6D07">
        <w:rPr>
          <w:rFonts w:hint="eastAsia"/>
        </w:rPr>
        <w:t>致力於</w:t>
      </w:r>
      <w:r w:rsidR="005475E0" w:rsidRPr="003E6D07">
        <w:rPr>
          <w:rFonts w:hint="eastAsia"/>
        </w:rPr>
        <w:t>承續前人的問題意識，以新的提問重新檢視既有理解。期盼本專</w:t>
      </w:r>
      <w:proofErr w:type="gramStart"/>
      <w:r w:rsidR="005475E0" w:rsidRPr="003E6D07">
        <w:rPr>
          <w:rFonts w:hint="eastAsia"/>
        </w:rPr>
        <w:t>輯</w:t>
      </w:r>
      <w:proofErr w:type="gramEnd"/>
      <w:r w:rsidR="005475E0" w:rsidRPr="003E6D07">
        <w:rPr>
          <w:rFonts w:hint="eastAsia"/>
        </w:rPr>
        <w:t>促成對儒家心論及其詮釋方法的持續討論，為</w:t>
      </w:r>
      <w:r w:rsidR="00A30CC4">
        <w:rPr>
          <w:rFonts w:hint="eastAsia"/>
        </w:rPr>
        <w:t>心性、</w:t>
      </w:r>
      <w:r w:rsidR="005475E0" w:rsidRPr="003E6D07">
        <w:rPr>
          <w:rFonts w:hint="eastAsia"/>
        </w:rPr>
        <w:t>規範</w:t>
      </w:r>
      <w:r w:rsidR="00A30CC4">
        <w:rPr>
          <w:rFonts w:hint="eastAsia"/>
        </w:rPr>
        <w:t>、動力</w:t>
      </w:r>
      <w:r w:rsidR="005475E0" w:rsidRPr="003E6D07">
        <w:rPr>
          <w:rFonts w:hint="eastAsia"/>
        </w:rPr>
        <w:t>與工夫的關係提供研究新視域。</w:t>
      </w:r>
    </w:p>
    <w:p w14:paraId="2E46A115" w14:textId="377D12D5" w:rsidR="005475E0" w:rsidRPr="003E6D07" w:rsidRDefault="005475E0" w:rsidP="005475E0">
      <w:pPr>
        <w:spacing w:beforeLines="50" w:before="180"/>
        <w:ind w:firstLineChars="200" w:firstLine="480"/>
        <w:jc w:val="both"/>
      </w:pPr>
      <w:r w:rsidRPr="003E6D07">
        <w:rPr>
          <w:rFonts w:hint="eastAsia"/>
        </w:rPr>
        <w:t>本</w:t>
      </w:r>
      <w:r w:rsidR="00962E43">
        <w:rPr>
          <w:rFonts w:hint="eastAsia"/>
        </w:rPr>
        <w:t>專輯</w:t>
      </w:r>
      <w:r w:rsidRPr="003E6D07">
        <w:rPr>
          <w:rFonts w:hint="eastAsia"/>
        </w:rPr>
        <w:t>經公開徵稿以及公正的匿名審查，</w:t>
      </w:r>
      <w:r w:rsidR="00F7718F">
        <w:rPr>
          <w:rFonts w:hint="eastAsia"/>
        </w:rPr>
        <w:t>收錄三篇專輯論文</w:t>
      </w:r>
      <w:r w:rsidRPr="003E6D07">
        <w:rPr>
          <w:rFonts w:hint="eastAsia"/>
        </w:rPr>
        <w:t>。其一是從比較哲學的進路探究《論語》的「宰我問三年之喪」章，另兩篇則是探究朱熹哲學中重要的工夫論。</w:t>
      </w:r>
      <w:proofErr w:type="gramStart"/>
      <w:r w:rsidR="00F7718F">
        <w:rPr>
          <w:rFonts w:hint="eastAsia"/>
        </w:rPr>
        <w:t>以下謹</w:t>
      </w:r>
      <w:proofErr w:type="gramEnd"/>
      <w:r w:rsidR="00F7718F">
        <w:rPr>
          <w:rFonts w:hint="eastAsia"/>
        </w:rPr>
        <w:t>就各篇的問題意識、主要</w:t>
      </w:r>
      <w:proofErr w:type="gramStart"/>
      <w:r w:rsidR="00F7718F">
        <w:rPr>
          <w:rFonts w:hint="eastAsia"/>
        </w:rPr>
        <w:t>論旨及其</w:t>
      </w:r>
      <w:proofErr w:type="gramEnd"/>
      <w:r w:rsidR="00F7718F">
        <w:rPr>
          <w:rFonts w:hint="eastAsia"/>
        </w:rPr>
        <w:t>與本專輯主題的關聯，略述其要。</w:t>
      </w:r>
    </w:p>
    <w:p w14:paraId="3B43B7C5" w14:textId="104185F6" w:rsidR="007A6536" w:rsidRPr="003E6D07" w:rsidRDefault="005475E0" w:rsidP="005475E0">
      <w:pPr>
        <w:spacing w:beforeLines="50" w:before="180"/>
        <w:ind w:firstLineChars="200" w:firstLine="480"/>
        <w:jc w:val="both"/>
        <w:rPr>
          <w:sz w:val="20"/>
          <w:szCs w:val="20"/>
        </w:rPr>
      </w:pPr>
      <w:r w:rsidRPr="003E6D07">
        <w:rPr>
          <w:rFonts w:hint="eastAsia"/>
          <w:szCs w:val="24"/>
        </w:rPr>
        <w:t>首篇是東海大學哲學系梁奮程助理教授的</w:t>
      </w:r>
      <w:proofErr w:type="gramStart"/>
      <w:r w:rsidRPr="003E6D07">
        <w:rPr>
          <w:rFonts w:hint="eastAsia"/>
          <w:szCs w:val="24"/>
        </w:rPr>
        <w:t>〈</w:t>
      </w:r>
      <w:proofErr w:type="gramEnd"/>
      <w:r w:rsidRPr="003E6D07">
        <w:rPr>
          <w:rFonts w:hint="eastAsia"/>
          <w:szCs w:val="24"/>
        </w:rPr>
        <w:t>安與不仁：「宰我問三年之喪」章的雙層理由結構與修養橋</w:t>
      </w:r>
      <w:proofErr w:type="gramStart"/>
      <w:r w:rsidRPr="003E6D07">
        <w:rPr>
          <w:rFonts w:hint="eastAsia"/>
          <w:szCs w:val="24"/>
        </w:rPr>
        <w:t>〉</w:t>
      </w:r>
      <w:proofErr w:type="gramEnd"/>
      <w:r w:rsidRPr="003E6D07">
        <w:rPr>
          <w:rFonts w:hint="eastAsia"/>
          <w:szCs w:val="24"/>
        </w:rPr>
        <w:t>。</w:t>
      </w:r>
      <w:r w:rsidR="00B651A0">
        <w:rPr>
          <w:rFonts w:hint="eastAsia"/>
          <w:szCs w:val="24"/>
        </w:rPr>
        <w:t>梁教授以</w:t>
      </w:r>
      <w:proofErr w:type="gramStart"/>
      <w:r w:rsidR="00B651A0">
        <w:rPr>
          <w:rFonts w:hint="eastAsia"/>
          <w:szCs w:val="24"/>
        </w:rPr>
        <w:t>孔子與宰我</w:t>
      </w:r>
      <w:proofErr w:type="gramEnd"/>
      <w:r w:rsidR="00B651A0">
        <w:rPr>
          <w:rFonts w:hint="eastAsia"/>
          <w:szCs w:val="24"/>
        </w:rPr>
        <w:t>的喪禮</w:t>
      </w:r>
      <w:proofErr w:type="gramStart"/>
      <w:r w:rsidR="00B651A0">
        <w:rPr>
          <w:rFonts w:hint="eastAsia"/>
          <w:szCs w:val="24"/>
        </w:rPr>
        <w:t>論辯為焦點</w:t>
      </w:r>
      <w:proofErr w:type="gramEnd"/>
      <w:r w:rsidR="00B651A0">
        <w:rPr>
          <w:rFonts w:hint="eastAsia"/>
          <w:szCs w:val="24"/>
        </w:rPr>
        <w:t>，在當代西方理由內在論與外在論之爭的脈絡下，重新說明儒家仁心語彙如何承擔規範證成與動機驅動兩種任務。文章指出，理由語言若僅著眼於客觀規範性，便可能停留於對行動者的外部譴責，難以說明其實踐理性意義；若僅訴諸理由與行動者動機的心理關聯，又可能使道德批評與責任歸屬失去客觀根據。孔子以「</w:t>
      </w:r>
      <w:proofErr w:type="gramStart"/>
      <w:r w:rsidR="00B651A0">
        <w:rPr>
          <w:rFonts w:hint="eastAsia"/>
          <w:szCs w:val="24"/>
        </w:rPr>
        <w:t>於女安乎」將論辯引</w:t>
      </w:r>
      <w:proofErr w:type="gramEnd"/>
      <w:r w:rsidR="00B651A0">
        <w:rPr>
          <w:rFonts w:hint="eastAsia"/>
          <w:szCs w:val="24"/>
        </w:rPr>
        <w:t>向心安與否，同時以「不仁」與「天下之</w:t>
      </w:r>
      <w:proofErr w:type="gramStart"/>
      <w:r w:rsidR="00B651A0">
        <w:rPr>
          <w:rFonts w:hint="eastAsia"/>
          <w:szCs w:val="24"/>
        </w:rPr>
        <w:t>通喪」</w:t>
      </w:r>
      <w:proofErr w:type="gramEnd"/>
      <w:r w:rsidR="00B651A0">
        <w:rPr>
          <w:rFonts w:hint="eastAsia"/>
          <w:szCs w:val="24"/>
        </w:rPr>
        <w:t>維持規範判</w:t>
      </w:r>
      <w:proofErr w:type="gramStart"/>
      <w:r w:rsidR="00B651A0">
        <w:rPr>
          <w:rFonts w:hint="eastAsia"/>
          <w:szCs w:val="24"/>
        </w:rPr>
        <w:t>準</w:t>
      </w:r>
      <w:proofErr w:type="gramEnd"/>
      <w:r w:rsidR="00B651A0">
        <w:rPr>
          <w:rFonts w:hint="eastAsia"/>
          <w:szCs w:val="24"/>
        </w:rPr>
        <w:t>，不使其取決於宰我的主觀感受。為理解此一結構，梁教授結合</w:t>
      </w:r>
      <w:r w:rsidR="00B651A0">
        <w:rPr>
          <w:rFonts w:hint="eastAsia"/>
          <w:szCs w:val="24"/>
        </w:rPr>
        <w:t>Williams</w:t>
      </w:r>
      <w:r w:rsidR="00B651A0">
        <w:rPr>
          <w:rFonts w:hint="eastAsia"/>
          <w:szCs w:val="24"/>
        </w:rPr>
        <w:t>關於心理關聯的洞見、</w:t>
      </w:r>
      <w:r w:rsidR="00B651A0">
        <w:rPr>
          <w:rFonts w:hint="eastAsia"/>
          <w:szCs w:val="24"/>
        </w:rPr>
        <w:t>Parfit</w:t>
      </w:r>
      <w:r w:rsidR="00B651A0">
        <w:rPr>
          <w:rFonts w:hint="eastAsia"/>
          <w:szCs w:val="24"/>
        </w:rPr>
        <w:t>對客觀規範理由的主張，並以</w:t>
      </w:r>
      <w:proofErr w:type="spellStart"/>
      <w:r w:rsidR="00B651A0">
        <w:rPr>
          <w:rFonts w:hint="eastAsia"/>
          <w:szCs w:val="24"/>
        </w:rPr>
        <w:t>Korsgaard</w:t>
      </w:r>
      <w:proofErr w:type="spellEnd"/>
      <w:r w:rsidR="00B651A0">
        <w:rPr>
          <w:rFonts w:hint="eastAsia"/>
          <w:szCs w:val="24"/>
        </w:rPr>
        <w:t>的「內在論條件」加以橋接，提出修養取向的雙層理由論。第一層由親恩</w:t>
      </w:r>
      <w:proofErr w:type="gramStart"/>
      <w:r w:rsidR="00B651A0">
        <w:rPr>
          <w:rFonts w:hint="eastAsia"/>
          <w:szCs w:val="24"/>
        </w:rPr>
        <w:t>與通喪確立</w:t>
      </w:r>
      <w:proofErr w:type="gramEnd"/>
      <w:r w:rsidR="00B651A0">
        <w:rPr>
          <w:rFonts w:hint="eastAsia"/>
          <w:szCs w:val="24"/>
        </w:rPr>
        <w:t>喪禮的規範理由，使其不隨個人的心安與否而改變；第二層則以安與不安檢測主體對理由的可受性，並藉君子居喪時的不甘、不樂與不安，說明規範理由如何經修養轉化為驅動力。此一重構兼顧責難的正當性與儒家教化的修養機制，</w:t>
      </w:r>
      <w:proofErr w:type="gramStart"/>
      <w:r w:rsidR="00B651A0">
        <w:rPr>
          <w:rFonts w:hint="eastAsia"/>
          <w:szCs w:val="24"/>
        </w:rPr>
        <w:t>也使仁心</w:t>
      </w:r>
      <w:proofErr w:type="gramEnd"/>
      <w:r w:rsidR="00B651A0">
        <w:rPr>
          <w:rFonts w:hint="eastAsia"/>
          <w:szCs w:val="24"/>
        </w:rPr>
        <w:t>在規範與動機之間的作用獲得更細緻的說明。</w:t>
      </w:r>
    </w:p>
    <w:p w14:paraId="19FC32E7" w14:textId="1EDB585D" w:rsidR="005475E0" w:rsidRPr="003E6D07" w:rsidRDefault="005475E0" w:rsidP="005475E0">
      <w:pPr>
        <w:spacing w:beforeLines="50" w:before="180"/>
        <w:ind w:firstLineChars="200" w:firstLine="480"/>
        <w:jc w:val="both"/>
        <w:rPr>
          <w:szCs w:val="24"/>
        </w:rPr>
      </w:pPr>
      <w:r w:rsidRPr="003E6D07">
        <w:rPr>
          <w:rFonts w:hint="eastAsia"/>
          <w:szCs w:val="24"/>
        </w:rPr>
        <w:t>第二篇是國立政治大學哲學系吳啟超助理教授的</w:t>
      </w:r>
      <w:proofErr w:type="gramStart"/>
      <w:r w:rsidRPr="003E6D07">
        <w:rPr>
          <w:rFonts w:hint="eastAsia"/>
          <w:szCs w:val="24"/>
        </w:rPr>
        <w:t>〈不</w:t>
      </w:r>
      <w:proofErr w:type="gramEnd"/>
      <w:r w:rsidRPr="003E6D07">
        <w:rPr>
          <w:rFonts w:hint="eastAsia"/>
          <w:szCs w:val="24"/>
        </w:rPr>
        <w:t>止於道德：朱熹格物窮理之學的</w:t>
      </w:r>
      <w:proofErr w:type="gramStart"/>
      <w:r w:rsidRPr="003E6D07">
        <w:rPr>
          <w:rFonts w:hint="eastAsia"/>
          <w:szCs w:val="24"/>
        </w:rPr>
        <w:t>內聖學意義〉</w:t>
      </w:r>
      <w:proofErr w:type="gramEnd"/>
      <w:r w:rsidRPr="003E6D07">
        <w:rPr>
          <w:rFonts w:hint="eastAsia"/>
          <w:szCs w:val="24"/>
        </w:rPr>
        <w:t>。</w:t>
      </w:r>
      <w:r w:rsidR="00B651A0">
        <w:rPr>
          <w:rFonts w:hint="eastAsia"/>
          <w:szCs w:val="24"/>
        </w:rPr>
        <w:t>吳教授藉由</w:t>
      </w:r>
      <w:proofErr w:type="gramStart"/>
      <w:r w:rsidR="00B651A0">
        <w:rPr>
          <w:rFonts w:hint="eastAsia"/>
          <w:szCs w:val="24"/>
        </w:rPr>
        <w:t>釐</w:t>
      </w:r>
      <w:proofErr w:type="gramEnd"/>
      <w:r w:rsidR="00B651A0">
        <w:rPr>
          <w:rFonts w:hint="eastAsia"/>
          <w:szCs w:val="24"/>
        </w:rPr>
        <w:t>清格物窮理之學的</w:t>
      </w:r>
      <w:proofErr w:type="gramStart"/>
      <w:r w:rsidR="00B651A0">
        <w:rPr>
          <w:rFonts w:hint="eastAsia"/>
          <w:szCs w:val="24"/>
        </w:rPr>
        <w:t>內聖學意義</w:t>
      </w:r>
      <w:proofErr w:type="gramEnd"/>
      <w:r w:rsidR="00B651A0">
        <w:rPr>
          <w:rFonts w:hint="eastAsia"/>
          <w:szCs w:val="24"/>
        </w:rPr>
        <w:t>，重新衡量</w:t>
      </w:r>
      <w:r w:rsidR="00B651A0">
        <w:rPr>
          <w:rFonts w:hint="eastAsia"/>
          <w:szCs w:val="24"/>
        </w:rPr>
        <w:lastRenderedPageBreak/>
        <w:t>道德修養在儒家內聖實踐中的位置。文章指出，格物窮理之學涵蓋道德修養之善、知識求取之真與美學修養之美，因而開啟一種值得重視的理論可能：道德修養</w:t>
      </w:r>
      <w:proofErr w:type="gramStart"/>
      <w:r w:rsidR="00B651A0">
        <w:rPr>
          <w:rFonts w:hint="eastAsia"/>
          <w:szCs w:val="24"/>
        </w:rPr>
        <w:t>雖非內聖</w:t>
      </w:r>
      <w:proofErr w:type="gramEnd"/>
      <w:r w:rsidR="00B651A0">
        <w:rPr>
          <w:rFonts w:hint="eastAsia"/>
          <w:szCs w:val="24"/>
        </w:rPr>
        <w:t>實踐的全部，卻仍可居於最重要或必須優先滿足的地位。「博學於文」所指的知識求取，以及「文質彬彬」所彰顯的文化素養或美學修養，在提倡「學文」的格物窮理之學中，皆是理想的自我完成不可或缺的部分。由此，內聖實踐的完整範圍與各項修養的優先次序，便成為必須分別考察的問題。這篇論文既有助於我們理解道德修養在自我完成歷程中的地位，也促使我們回顧孔子所開啟的</w:t>
      </w:r>
      <w:proofErr w:type="gramStart"/>
      <w:r w:rsidR="00B651A0">
        <w:rPr>
          <w:rFonts w:hint="eastAsia"/>
          <w:szCs w:val="24"/>
        </w:rPr>
        <w:t>內聖學</w:t>
      </w:r>
      <w:proofErr w:type="gramEnd"/>
      <w:r w:rsidR="00B651A0">
        <w:rPr>
          <w:rFonts w:hint="eastAsia"/>
          <w:szCs w:val="24"/>
        </w:rPr>
        <w:t>，檢視後世儒學發展的得失。吳教授在結論中提醒，孔子的</w:t>
      </w:r>
      <w:proofErr w:type="gramStart"/>
      <w:r w:rsidR="00B651A0">
        <w:rPr>
          <w:rFonts w:hint="eastAsia"/>
          <w:szCs w:val="24"/>
        </w:rPr>
        <w:t>內聖學兼顧</w:t>
      </w:r>
      <w:proofErr w:type="gramEnd"/>
      <w:r w:rsidR="00B651A0">
        <w:rPr>
          <w:rFonts w:hint="eastAsia"/>
          <w:szCs w:val="24"/>
        </w:rPr>
        <w:t>真、善、美，後世儒者固然不必墨守成法，但若要調整修養的範圍與重心，仍須具備自覺的思辨與充分的論述。如此，方能避免在承繼傳統時有所忽略或遺忘，並為儒家成德之學的發展提出更周全的理解。</w:t>
      </w:r>
    </w:p>
    <w:p w14:paraId="566A4863" w14:textId="1294A30E" w:rsidR="00F74351" w:rsidRPr="003E6D07" w:rsidRDefault="005475E0" w:rsidP="005475E0">
      <w:pPr>
        <w:spacing w:beforeLines="50" w:before="180"/>
        <w:ind w:firstLineChars="200" w:firstLine="48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  <w:r w:rsidRPr="003E6D07">
        <w:rPr>
          <w:rFonts w:hint="eastAsia"/>
        </w:rPr>
        <w:t>第三篇是時任國立中正大學中國文學系陳志杰博士後研究員的</w:t>
      </w:r>
      <w:proofErr w:type="gramStart"/>
      <w:r w:rsidRPr="003E6D07">
        <w:rPr>
          <w:rFonts w:hint="eastAsia"/>
        </w:rPr>
        <w:t>〈</w:t>
      </w:r>
      <w:proofErr w:type="gramEnd"/>
      <w:r w:rsidRPr="003E6D07">
        <w:rPr>
          <w:rFonts w:hint="eastAsia"/>
        </w:rPr>
        <w:t>朱子的居敬窮理是否為先天超越的工夫？〉。</w:t>
      </w:r>
      <w:r w:rsidR="000465FC">
        <w:rPr>
          <w:rFonts w:hint="eastAsia"/>
        </w:rPr>
        <w:t>陳博士由學界對朱子「</w:t>
      </w:r>
      <w:proofErr w:type="gramStart"/>
      <w:r w:rsidR="000465FC">
        <w:rPr>
          <w:rFonts w:hint="eastAsia"/>
        </w:rPr>
        <w:t>心具理</w:t>
      </w:r>
      <w:proofErr w:type="gramEnd"/>
      <w:r w:rsidR="000465FC">
        <w:rPr>
          <w:rFonts w:hint="eastAsia"/>
        </w:rPr>
        <w:t>」義理的研究出發，重新檢視牟宗三將朱子工夫判定為後天經驗的論據，進而論證居敬窮理所具有的先天根據。文章</w:t>
      </w:r>
      <w:proofErr w:type="gramStart"/>
      <w:r w:rsidR="000465FC">
        <w:rPr>
          <w:rFonts w:hint="eastAsia"/>
        </w:rPr>
        <w:t>透過論析朱子</w:t>
      </w:r>
      <w:proofErr w:type="gramEnd"/>
      <w:r w:rsidR="000465FC">
        <w:rPr>
          <w:rFonts w:hint="eastAsia"/>
        </w:rPr>
        <w:t>的文獻指出，心先天</w:t>
      </w:r>
      <w:proofErr w:type="gramStart"/>
      <w:r w:rsidR="000465FC">
        <w:rPr>
          <w:rFonts w:hint="eastAsia"/>
        </w:rPr>
        <w:t>具性理</w:t>
      </w:r>
      <w:proofErr w:type="gramEnd"/>
      <w:r w:rsidR="000465FC">
        <w:rPr>
          <w:rFonts w:hint="eastAsia"/>
        </w:rPr>
        <w:t>，而居敬窮理工夫的著力根據，即</w:t>
      </w:r>
      <w:proofErr w:type="gramStart"/>
      <w:r w:rsidR="000465FC">
        <w:rPr>
          <w:rFonts w:hint="eastAsia"/>
        </w:rPr>
        <w:t>在於性理於</w:t>
      </w:r>
      <w:proofErr w:type="gramEnd"/>
      <w:r w:rsidR="000465FC">
        <w:rPr>
          <w:rFonts w:hint="eastAsia"/>
        </w:rPr>
        <w:t>心中的作用。據此，朱子工夫便有其先天的依據，不能僅以一般經驗的活動，</w:t>
      </w:r>
      <w:proofErr w:type="gramStart"/>
      <w:r w:rsidR="000465FC">
        <w:rPr>
          <w:rFonts w:hint="eastAsia"/>
        </w:rPr>
        <w:t>或牟宗</w:t>
      </w:r>
      <w:proofErr w:type="gramEnd"/>
      <w:r w:rsidR="000465FC">
        <w:rPr>
          <w:rFonts w:hint="eastAsia"/>
        </w:rPr>
        <w:t>三所謂空頭的涵養加以理解。這項論證涉及心</w:t>
      </w:r>
      <w:proofErr w:type="gramStart"/>
      <w:r w:rsidR="000465FC">
        <w:rPr>
          <w:rFonts w:hint="eastAsia"/>
        </w:rPr>
        <w:t>如何具理</w:t>
      </w:r>
      <w:proofErr w:type="gramEnd"/>
      <w:r w:rsidR="000465FC">
        <w:rPr>
          <w:rFonts w:hint="eastAsia"/>
        </w:rPr>
        <w:t>，</w:t>
      </w:r>
      <w:proofErr w:type="gramStart"/>
      <w:r w:rsidR="000465FC">
        <w:rPr>
          <w:rFonts w:hint="eastAsia"/>
        </w:rPr>
        <w:t>以及性理如何</w:t>
      </w:r>
      <w:proofErr w:type="gramEnd"/>
      <w:r w:rsidR="000465FC">
        <w:rPr>
          <w:rFonts w:hint="eastAsia"/>
        </w:rPr>
        <w:t>在心中發揮作用的討論，也重新檢視工夫與其理論根據之間的關係。陳博士特別指出，肯定朱子工夫的先天性，並不意味著必須將其思想</w:t>
      </w:r>
      <w:proofErr w:type="gramStart"/>
      <w:r w:rsidR="000465FC">
        <w:rPr>
          <w:rFonts w:hint="eastAsia"/>
        </w:rPr>
        <w:t>推向陸王系統</w:t>
      </w:r>
      <w:proofErr w:type="gramEnd"/>
      <w:r w:rsidR="000465FC">
        <w:rPr>
          <w:rFonts w:hint="eastAsia"/>
        </w:rPr>
        <w:t>。</w:t>
      </w:r>
      <w:proofErr w:type="gramStart"/>
      <w:r w:rsidR="000465FC">
        <w:rPr>
          <w:rFonts w:hint="eastAsia"/>
        </w:rPr>
        <w:t>陸王以</w:t>
      </w:r>
      <w:proofErr w:type="gramEnd"/>
      <w:r w:rsidR="000465FC">
        <w:rPr>
          <w:rFonts w:hint="eastAsia"/>
        </w:rPr>
        <w:t>「</w:t>
      </w:r>
      <w:proofErr w:type="gramStart"/>
      <w:r w:rsidR="000465FC">
        <w:rPr>
          <w:rFonts w:hint="eastAsia"/>
        </w:rPr>
        <w:t>心即理</w:t>
      </w:r>
      <w:proofErr w:type="gramEnd"/>
      <w:r w:rsidR="000465FC">
        <w:rPr>
          <w:rFonts w:hint="eastAsia"/>
        </w:rPr>
        <w:t>」為其思想根據，開展先天超越的</w:t>
      </w:r>
      <w:proofErr w:type="gramStart"/>
      <w:r w:rsidR="000465FC">
        <w:rPr>
          <w:rFonts w:hint="eastAsia"/>
        </w:rPr>
        <w:t>逆覺體證</w:t>
      </w:r>
      <w:proofErr w:type="gramEnd"/>
      <w:r w:rsidR="000465FC">
        <w:rPr>
          <w:rFonts w:hint="eastAsia"/>
        </w:rPr>
        <w:t>工夫；朱子則以「</w:t>
      </w:r>
      <w:proofErr w:type="gramStart"/>
      <w:r w:rsidR="000465FC">
        <w:rPr>
          <w:rFonts w:hint="eastAsia"/>
        </w:rPr>
        <w:t>心具理</w:t>
      </w:r>
      <w:proofErr w:type="gramEnd"/>
      <w:r w:rsidR="000465FC">
        <w:rPr>
          <w:rFonts w:hint="eastAsia"/>
        </w:rPr>
        <w:t>」為其思想根據，開展可理解為先天超越的居敬窮理工夫。兩者各有其義理結構與工夫型態，皆能成德，</w:t>
      </w:r>
      <w:proofErr w:type="gramStart"/>
      <w:r w:rsidR="000465FC">
        <w:rPr>
          <w:rFonts w:hint="eastAsia"/>
        </w:rPr>
        <w:t>因而均有值得</w:t>
      </w:r>
      <w:proofErr w:type="gramEnd"/>
      <w:r w:rsidR="000465FC">
        <w:rPr>
          <w:rFonts w:hint="eastAsia"/>
        </w:rPr>
        <w:t>肯定的價值。此一討論引導我們回到朱子文獻，重</w:t>
      </w:r>
      <w:proofErr w:type="gramStart"/>
      <w:r w:rsidR="000465FC">
        <w:rPr>
          <w:rFonts w:hint="eastAsia"/>
        </w:rPr>
        <w:t>審心、性理</w:t>
      </w:r>
      <w:proofErr w:type="gramEnd"/>
      <w:r w:rsidR="000465FC">
        <w:rPr>
          <w:rFonts w:hint="eastAsia"/>
        </w:rPr>
        <w:t>與工夫的關係，並反思當代儒學詮釋朱子學的理論依據。這篇論文也提示我們，儒家心論的探究須兼顧不同系統的差異，方能深化心性論與修養論的相互闡釋。</w:t>
      </w:r>
    </w:p>
    <w:p w14:paraId="6AF158D0" w14:textId="21641054" w:rsidR="005475E0" w:rsidRPr="003E6D07" w:rsidRDefault="00F97F58" w:rsidP="005475E0">
      <w:pPr>
        <w:spacing w:beforeLines="50" w:before="180"/>
        <w:ind w:firstLineChars="200" w:firstLine="480"/>
        <w:jc w:val="both"/>
      </w:pPr>
      <w:r>
        <w:rPr>
          <w:rFonts w:hint="eastAsia"/>
        </w:rPr>
        <w:t>三篇論文共同涉及儒學現代詮釋的方法問題。詮釋儒家哲學時，回到文本、把握儒者思想的原有脈絡，自是不可省略的工作；對於過度依賴西方哲學概念，甚至將既成架構強加於原典的疑慮，也應審慎面對。然而，當我們試圖</w:t>
      </w:r>
      <w:proofErr w:type="gramStart"/>
      <w:r>
        <w:rPr>
          <w:rFonts w:hint="eastAsia"/>
        </w:rPr>
        <w:t>釐</w:t>
      </w:r>
      <w:proofErr w:type="gramEnd"/>
      <w:r>
        <w:rPr>
          <w:rFonts w:hint="eastAsia"/>
        </w:rPr>
        <w:t>清古典語彙的意義、重構論證並回應當代問題時，仍須運用現代語言與相應的哲學概念。關鍵因而在於如何衡量概念架構與原典的契合程度，以及詮釋是否確實增進了對文本的理解。中西哲學家在道德與政治問題上，可能具有相通的關懷、普遍的構想、也可能提出不同的概念與論證方式。比較哲學的工作，應在具體</w:t>
      </w:r>
      <w:proofErr w:type="gramStart"/>
      <w:r>
        <w:rPr>
          <w:rFonts w:hint="eastAsia"/>
        </w:rPr>
        <w:t>問題中辨明</w:t>
      </w:r>
      <w:proofErr w:type="gramEnd"/>
      <w:r>
        <w:rPr>
          <w:rFonts w:hint="eastAsia"/>
        </w:rPr>
        <w:t>其相通與相異之處，讓彼此的觀點接受檢視，進而達到會通的目的。期待本專輯所展開的對話，既能以哲學分析深化經典理解，也能使儒家思想對當代論辯有所回應。對前人詮釋的反思，亦應立足於文本的分析與嚴謹的論證，在承認其貢獻的同時，重新檢驗其判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與結論。這是本專輯所期許的研究態度，也是儒學繼往開來的具體途徑。</w:t>
      </w:r>
    </w:p>
    <w:p w14:paraId="1B17BC45" w14:textId="09301B0C" w:rsidR="0080796C" w:rsidRPr="003E6D07" w:rsidRDefault="00F97F58" w:rsidP="005475E0">
      <w:pPr>
        <w:spacing w:beforeLines="50" w:before="180"/>
        <w:ind w:firstLineChars="200" w:firstLine="480"/>
        <w:jc w:val="both"/>
      </w:pPr>
      <w:r>
        <w:rPr>
          <w:rFonts w:hint="eastAsia"/>
        </w:rPr>
        <w:lastRenderedPageBreak/>
        <w:t>最後，謹向為本期刊付出心力的校內外編輯委員與審查人致謝，並特別感謝陳佳銘主編對本專輯的支持，以及張越翔助理與其帶領的工作團隊協助繁重的編校事務。三篇論文的刊行，有賴作者、審查人與編輯團隊共同投入。期盼本專輯能引發對儒家心論的進一步討論，透過研討、對話與相互攻錯，持續檢驗各種詮釋進路及比較研究方法的合理性與適切性。我們期待讀者由此重新思考心性與成德實踐的關係，並在既有研究成果上開展新的提問，共同拓展儒學研究的視域。</w:t>
      </w:r>
    </w:p>
    <w:sectPr w:rsidR="0080796C" w:rsidRPr="003E6D07" w:rsidSect="00E16303">
      <w:footerReference w:type="default" r:id="rId7"/>
      <w:pgSz w:w="11906" w:h="16838"/>
      <w:pgMar w:top="1440" w:right="1800" w:bottom="1440" w:left="1800" w:header="851" w:footer="992" w:gutter="0"/>
      <w:pgNumType w:fmt="lowerRoman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4A373" w14:textId="77777777" w:rsidR="00240885" w:rsidRDefault="00240885" w:rsidP="0024383F">
      <w:r>
        <w:separator/>
      </w:r>
    </w:p>
  </w:endnote>
  <w:endnote w:type="continuationSeparator" w:id="0">
    <w:p w14:paraId="696649AF" w14:textId="77777777" w:rsidR="00240885" w:rsidRDefault="00240885" w:rsidP="0024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粗明體">
    <w:panose1 w:val="02020709000000000000"/>
    <w:charset w:val="88"/>
    <w:family w:val="modern"/>
    <w:pitch w:val="fixed"/>
    <w:sig w:usb0="A00002FF" w:usb1="3A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1899502"/>
      <w:docPartObj>
        <w:docPartGallery w:val="Page Numbers (Bottom of Page)"/>
        <w:docPartUnique/>
      </w:docPartObj>
    </w:sdtPr>
    <w:sdtEndPr/>
    <w:sdtContent>
      <w:p w14:paraId="0430C9A9" w14:textId="77777777" w:rsidR="000F424C" w:rsidRDefault="000F424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689" w:rsidRPr="00202689">
          <w:rPr>
            <w:noProof/>
            <w:lang w:val="zh-TW"/>
          </w:rPr>
          <w:t>1</w:t>
        </w:r>
        <w:r>
          <w:fldChar w:fldCharType="end"/>
        </w:r>
      </w:p>
    </w:sdtContent>
  </w:sdt>
  <w:p w14:paraId="5EB505E0" w14:textId="77777777" w:rsidR="000F424C" w:rsidRDefault="000F42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5702C" w14:textId="77777777" w:rsidR="00240885" w:rsidRDefault="00240885" w:rsidP="0024383F">
      <w:r>
        <w:separator/>
      </w:r>
    </w:p>
  </w:footnote>
  <w:footnote w:type="continuationSeparator" w:id="0">
    <w:p w14:paraId="0F4D64E2" w14:textId="77777777" w:rsidR="00240885" w:rsidRDefault="00240885" w:rsidP="00243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60AA"/>
    <w:multiLevelType w:val="multilevel"/>
    <w:tmpl w:val="02BC3AA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1" w15:restartNumberingAfterBreak="0">
    <w:nsid w:val="40E845D5"/>
    <w:multiLevelType w:val="multilevel"/>
    <w:tmpl w:val="04090025"/>
    <w:lvl w:ilvl="0">
      <w:start w:val="1"/>
      <w:numFmt w:val="taiwaneseCountingThousand"/>
      <w:pStyle w:val="1"/>
      <w:suff w:val="nothing"/>
      <w:lvlText w:val="第%1章"/>
      <w:lvlJc w:val="left"/>
      <w:pPr>
        <w:ind w:left="425" w:hanging="425"/>
      </w:pPr>
    </w:lvl>
    <w:lvl w:ilvl="1">
      <w:start w:val="1"/>
      <w:numFmt w:val="taiwaneseCountingThousand"/>
      <w:pStyle w:val="2"/>
      <w:suff w:val="nothing"/>
      <w:lvlText w:val="第%2節"/>
      <w:lvlJc w:val="left"/>
      <w:pPr>
        <w:ind w:left="992" w:hanging="567"/>
      </w:pPr>
    </w:lvl>
    <w:lvl w:ilvl="2">
      <w:start w:val="1"/>
      <w:numFmt w:val="taiwaneseCountingThousand"/>
      <w:pStyle w:val="3"/>
      <w:suff w:val="nothing"/>
      <w:lvlText w:val="第%3項"/>
      <w:lvlJc w:val="left"/>
      <w:pPr>
        <w:ind w:left="1418" w:hanging="567"/>
      </w:pPr>
    </w:lvl>
    <w:lvl w:ilvl="3">
      <w:start w:val="1"/>
      <w:numFmt w:val="none"/>
      <w:pStyle w:val="4"/>
      <w:suff w:val="nothing"/>
      <w:lvlText w:val=""/>
      <w:lvlJc w:val="left"/>
      <w:pPr>
        <w:ind w:left="1984" w:hanging="708"/>
      </w:p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3F"/>
    <w:rsid w:val="000465FC"/>
    <w:rsid w:val="000F424C"/>
    <w:rsid w:val="00103216"/>
    <w:rsid w:val="00142134"/>
    <w:rsid w:val="00174022"/>
    <w:rsid w:val="001A0317"/>
    <w:rsid w:val="001E1A9E"/>
    <w:rsid w:val="00202689"/>
    <w:rsid w:val="002221F2"/>
    <w:rsid w:val="00240885"/>
    <w:rsid w:val="0024383F"/>
    <w:rsid w:val="002440F9"/>
    <w:rsid w:val="002510B1"/>
    <w:rsid w:val="002A202D"/>
    <w:rsid w:val="002E4D3B"/>
    <w:rsid w:val="00316323"/>
    <w:rsid w:val="00352C90"/>
    <w:rsid w:val="00360067"/>
    <w:rsid w:val="003B4D95"/>
    <w:rsid w:val="003E6D07"/>
    <w:rsid w:val="00411F26"/>
    <w:rsid w:val="00433B7B"/>
    <w:rsid w:val="004605DF"/>
    <w:rsid w:val="004A5871"/>
    <w:rsid w:val="005475E0"/>
    <w:rsid w:val="00587A55"/>
    <w:rsid w:val="00603A4A"/>
    <w:rsid w:val="00655C8E"/>
    <w:rsid w:val="00685C52"/>
    <w:rsid w:val="006E7EBA"/>
    <w:rsid w:val="006F5632"/>
    <w:rsid w:val="00737315"/>
    <w:rsid w:val="00744931"/>
    <w:rsid w:val="00753C31"/>
    <w:rsid w:val="007610D3"/>
    <w:rsid w:val="00763084"/>
    <w:rsid w:val="007652D5"/>
    <w:rsid w:val="00781969"/>
    <w:rsid w:val="007A39B0"/>
    <w:rsid w:val="007A6536"/>
    <w:rsid w:val="007E0D9E"/>
    <w:rsid w:val="0080796C"/>
    <w:rsid w:val="008C0666"/>
    <w:rsid w:val="008C1087"/>
    <w:rsid w:val="00923EF6"/>
    <w:rsid w:val="00962E43"/>
    <w:rsid w:val="0098712F"/>
    <w:rsid w:val="00A30CC4"/>
    <w:rsid w:val="00A83D2E"/>
    <w:rsid w:val="00AA1BB3"/>
    <w:rsid w:val="00AF62DF"/>
    <w:rsid w:val="00B14450"/>
    <w:rsid w:val="00B25A39"/>
    <w:rsid w:val="00B450F5"/>
    <w:rsid w:val="00B5445C"/>
    <w:rsid w:val="00B651A0"/>
    <w:rsid w:val="00BA3DA6"/>
    <w:rsid w:val="00BC1E89"/>
    <w:rsid w:val="00C22BC4"/>
    <w:rsid w:val="00C614A1"/>
    <w:rsid w:val="00C9348F"/>
    <w:rsid w:val="00D20E2E"/>
    <w:rsid w:val="00D253E1"/>
    <w:rsid w:val="00D95A4E"/>
    <w:rsid w:val="00DB1C09"/>
    <w:rsid w:val="00DF2F03"/>
    <w:rsid w:val="00E16303"/>
    <w:rsid w:val="00F17E08"/>
    <w:rsid w:val="00F2083C"/>
    <w:rsid w:val="00F45B4B"/>
    <w:rsid w:val="00F57DEE"/>
    <w:rsid w:val="00F74351"/>
    <w:rsid w:val="00F7718F"/>
    <w:rsid w:val="00F97F58"/>
    <w:rsid w:val="00FA0E7A"/>
    <w:rsid w:val="00FA35BB"/>
    <w:rsid w:val="00FA558A"/>
    <w:rsid w:val="00FA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66B3E"/>
  <w15:chartTrackingRefBased/>
  <w15:docId w15:val="{49970BDF-2790-4CB3-B6F2-0D4C2D80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83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383F"/>
    <w:pPr>
      <w:keepNext/>
      <w:numPr>
        <w:numId w:val="1"/>
      </w:numPr>
      <w:spacing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28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83F"/>
    <w:pPr>
      <w:keepNext/>
      <w:numPr>
        <w:ilvl w:val="1"/>
        <w:numId w:val="1"/>
      </w:numPr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83F"/>
    <w:pPr>
      <w:keepNext/>
      <w:numPr>
        <w:ilvl w:val="2"/>
        <w:numId w:val="1"/>
      </w:numPr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83F"/>
    <w:pPr>
      <w:keepNext/>
      <w:numPr>
        <w:ilvl w:val="3"/>
        <w:numId w:val="1"/>
      </w:numPr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83F"/>
    <w:pPr>
      <w:keepNext/>
      <w:numPr>
        <w:ilvl w:val="4"/>
        <w:numId w:val="1"/>
      </w:numPr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83F"/>
    <w:pPr>
      <w:keepNext/>
      <w:numPr>
        <w:ilvl w:val="5"/>
        <w:numId w:val="1"/>
      </w:numPr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83F"/>
    <w:pPr>
      <w:keepNext/>
      <w:numPr>
        <w:ilvl w:val="6"/>
        <w:numId w:val="1"/>
      </w:numPr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83F"/>
    <w:pPr>
      <w:keepNext/>
      <w:numPr>
        <w:ilvl w:val="7"/>
        <w:numId w:val="1"/>
      </w:numPr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83F"/>
    <w:pPr>
      <w:keepNext/>
      <w:numPr>
        <w:ilvl w:val="8"/>
        <w:numId w:val="1"/>
      </w:numPr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4383F"/>
    <w:rPr>
      <w:rFonts w:asciiTheme="majorHAnsi" w:eastAsiaTheme="majorEastAsia" w:hAnsiTheme="majorHAnsi" w:cstheme="majorBidi"/>
      <w:b/>
      <w:bCs/>
      <w:kern w:val="52"/>
      <w:sz w:val="28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24383F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24383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24383F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24383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24383F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semiHidden/>
    <w:rsid w:val="0024383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24383F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semiHidden/>
    <w:rsid w:val="0024383F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2438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438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438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4383F"/>
    <w:rPr>
      <w:sz w:val="20"/>
      <w:szCs w:val="20"/>
    </w:rPr>
  </w:style>
  <w:style w:type="paragraph" w:customStyle="1" w:styleId="11">
    <w:name w:val="標題1"/>
    <w:basedOn w:val="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9</cp:revision>
  <dcterms:created xsi:type="dcterms:W3CDTF">2026-10-12T12:10:00Z</dcterms:created>
  <dcterms:modified xsi:type="dcterms:W3CDTF">2026-10-15T02:09:00Z</dcterms:modified>
</cp:coreProperties>
</file>